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B430A2A">
      <w:pPr>
        <w:pStyle w:val="10"/>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方正小标宋简体" w:hAnsi="方正小标宋简体" w:eastAsia="方正小标宋简体" w:cs="方正小标宋简体"/>
          <w:bCs/>
          <w:color w:val="000000"/>
          <w:sz w:val="44"/>
          <w:szCs w:val="44"/>
          <w:shd w:val="clear" w:color="auto" w:fill="FFFFFF"/>
        </w:rPr>
      </w:pPr>
      <w:r>
        <w:rPr>
          <w:rFonts w:hint="eastAsia" w:ascii="方正小标宋简体" w:hAnsi="方正小标宋简体" w:eastAsia="方正小标宋简体" w:cs="方正小标宋简体"/>
          <w:bCs/>
          <w:color w:val="000000"/>
          <w:sz w:val="44"/>
          <w:szCs w:val="44"/>
          <w:shd w:val="clear" w:color="auto" w:fill="FFFFFF"/>
        </w:rPr>
        <w:t>陕西锌业有限公司</w:t>
      </w:r>
    </w:p>
    <w:p w14:paraId="1F954A35">
      <w:pPr>
        <w:pStyle w:val="10"/>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方正小标宋简体" w:hAnsi="方正小标宋简体" w:eastAsia="方正小标宋简体" w:cs="方正小标宋简体"/>
          <w:bCs/>
          <w:color w:val="000000"/>
          <w:sz w:val="44"/>
          <w:szCs w:val="44"/>
          <w:shd w:val="clear" w:color="auto" w:fill="FFFFFF"/>
        </w:rPr>
      </w:pPr>
      <w:r>
        <w:rPr>
          <w:rFonts w:hint="eastAsia" w:ascii="方正小标宋简体" w:hAnsi="方正小标宋简体" w:eastAsia="方正小标宋简体" w:cs="方正小标宋简体"/>
          <w:bCs/>
          <w:color w:val="000000"/>
          <w:sz w:val="44"/>
          <w:szCs w:val="44"/>
          <w:shd w:val="clear" w:color="auto" w:fill="FFFFFF"/>
        </w:rPr>
        <w:t>网络安全等保测评</w:t>
      </w:r>
      <w:r>
        <w:rPr>
          <w:rFonts w:hint="eastAsia" w:ascii="方正小标宋简体" w:hAnsi="方正小标宋简体" w:eastAsia="方正小标宋简体" w:cs="方正小标宋简体"/>
          <w:bCs/>
          <w:color w:val="000000"/>
          <w:sz w:val="44"/>
          <w:szCs w:val="44"/>
          <w:shd w:val="clear" w:color="auto" w:fill="FFFFFF"/>
          <w:lang w:val="en-US" w:eastAsia="zh-CN"/>
        </w:rPr>
        <w:t>询比</w:t>
      </w:r>
      <w:r>
        <w:rPr>
          <w:rFonts w:hint="eastAsia" w:ascii="方正小标宋简体" w:hAnsi="方正小标宋简体" w:eastAsia="方正小标宋简体" w:cs="方正小标宋简体"/>
          <w:bCs/>
          <w:color w:val="000000"/>
          <w:sz w:val="44"/>
          <w:szCs w:val="44"/>
          <w:shd w:val="clear" w:color="auto" w:fill="FFFFFF"/>
        </w:rPr>
        <w:t>采购文件</w:t>
      </w:r>
    </w:p>
    <w:p w14:paraId="72EF7FCD">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left="516" w:leftChars="232" w:hanging="29" w:hangingChars="9"/>
        <w:textAlignment w:val="auto"/>
        <w:rPr>
          <w:rFonts w:hint="eastAsia" w:ascii="华文仿宋" w:hAnsi="华文仿宋" w:eastAsia="华文仿宋" w:cs="仿宋_GB2312"/>
          <w:b/>
          <w:bCs/>
          <w:color w:val="000000"/>
          <w:kern w:val="44"/>
          <w:sz w:val="32"/>
          <w:szCs w:val="32"/>
          <w:lang w:val="en-US" w:eastAsia="zh-CN" w:bidi="ar-SA"/>
        </w:rPr>
      </w:pPr>
      <w:bookmarkStart w:id="0" w:name="OLE_LINK1"/>
    </w:p>
    <w:p w14:paraId="399C7BB1">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left="516" w:leftChars="232" w:hanging="29" w:hangingChars="9"/>
        <w:textAlignment w:val="auto"/>
        <w:rPr>
          <w:rFonts w:hint="eastAsia" w:ascii="华文仿宋" w:hAnsi="华文仿宋" w:eastAsia="华文仿宋" w:cs="仿宋_GB2312"/>
          <w:color w:val="000000"/>
          <w:sz w:val="32"/>
          <w:szCs w:val="32"/>
          <w:lang w:val="en-US" w:eastAsia="zh-CN"/>
        </w:rPr>
      </w:pPr>
      <w:r>
        <w:rPr>
          <w:rFonts w:hint="eastAsia" w:ascii="华文仿宋" w:hAnsi="华文仿宋" w:eastAsia="华文仿宋" w:cs="仿宋_GB2312"/>
          <w:b/>
          <w:bCs/>
          <w:color w:val="000000"/>
          <w:kern w:val="44"/>
          <w:sz w:val="32"/>
          <w:szCs w:val="32"/>
          <w:lang w:val="en-US" w:eastAsia="zh-CN" w:bidi="ar-SA"/>
        </w:rPr>
        <w:t>一、采购</w:t>
      </w:r>
      <w:r>
        <w:rPr>
          <w:rFonts w:hint="eastAsia" w:ascii="华文仿宋" w:hAnsi="华文仿宋" w:eastAsia="华文仿宋" w:cs="仿宋_GB2312"/>
          <w:color w:val="000000"/>
          <w:sz w:val="32"/>
          <w:szCs w:val="32"/>
        </w:rPr>
        <w:t>项目概</w:t>
      </w:r>
      <w:r>
        <w:rPr>
          <w:rFonts w:hint="eastAsia" w:ascii="华文仿宋" w:hAnsi="华文仿宋" w:eastAsia="华文仿宋" w:cs="仿宋_GB2312"/>
          <w:color w:val="000000"/>
          <w:sz w:val="32"/>
          <w:szCs w:val="32"/>
          <w:lang w:val="en-US" w:eastAsia="zh-CN"/>
        </w:rPr>
        <w:t>况</w:t>
      </w:r>
    </w:p>
    <w:bookmarkEnd w:id="0"/>
    <w:p w14:paraId="20095064">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lang w:val="en-US" w:eastAsia="zh-CN"/>
        </w:rPr>
      </w:pPr>
      <w:r>
        <w:rPr>
          <w:rFonts w:hint="eastAsia" w:ascii="仿宋_GB2312" w:eastAsia="仿宋_GB2312"/>
          <w:sz w:val="32"/>
          <w:szCs w:val="32"/>
        </w:rPr>
        <w:t>1.项目名称：陕西锌业有限公司网络安全等保测评服务</w:t>
      </w:r>
      <w:r>
        <w:rPr>
          <w:rFonts w:hint="eastAsia" w:ascii="仿宋_GB2312" w:eastAsia="仿宋_GB2312"/>
          <w:sz w:val="32"/>
          <w:szCs w:val="32"/>
          <w:lang w:val="en-US" w:eastAsia="zh-CN"/>
        </w:rPr>
        <w:t>询比</w:t>
      </w:r>
      <w:r>
        <w:rPr>
          <w:rFonts w:hint="eastAsia" w:ascii="仿宋_GB2312" w:eastAsia="仿宋_GB2312"/>
          <w:sz w:val="32"/>
          <w:szCs w:val="32"/>
        </w:rPr>
        <w:t>采购项目</w:t>
      </w:r>
    </w:p>
    <w:p w14:paraId="1557D7CE">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w:t>
      </w:r>
      <w:r>
        <w:rPr>
          <w:rFonts w:hint="eastAsia" w:ascii="仿宋_GB2312" w:eastAsia="仿宋_GB2312"/>
          <w:sz w:val="32"/>
          <w:szCs w:val="32"/>
        </w:rPr>
        <w:t>.采购方式：</w:t>
      </w:r>
      <w:r>
        <w:rPr>
          <w:rFonts w:hint="eastAsia" w:ascii="仿宋_GB2312" w:eastAsia="仿宋_GB2312"/>
          <w:sz w:val="32"/>
          <w:szCs w:val="32"/>
          <w:lang w:val="en-US" w:eastAsia="zh-CN"/>
        </w:rPr>
        <w:t>询比采购</w:t>
      </w:r>
    </w:p>
    <w:p w14:paraId="7767CAA1">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3</w:t>
      </w:r>
      <w:r>
        <w:rPr>
          <w:rFonts w:hint="eastAsia" w:ascii="仿宋_GB2312" w:eastAsia="仿宋_GB2312"/>
          <w:sz w:val="32"/>
          <w:szCs w:val="32"/>
        </w:rPr>
        <w:t>.</w:t>
      </w:r>
      <w:r>
        <w:rPr>
          <w:rFonts w:hint="eastAsia" w:ascii="仿宋_GB2312" w:eastAsia="仿宋_GB2312"/>
          <w:sz w:val="32"/>
          <w:szCs w:val="32"/>
          <w:lang w:val="en-US" w:eastAsia="zh-CN"/>
        </w:rPr>
        <w:t>最高限价：9.5万元</w:t>
      </w:r>
    </w:p>
    <w:p w14:paraId="07A801BA">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.采购需求</w:t>
      </w:r>
      <w:r>
        <w:rPr>
          <w:rFonts w:hint="eastAsia" w:ascii="仿宋_GB2312" w:eastAsia="仿宋_GB2312"/>
          <w:sz w:val="32"/>
          <w:szCs w:val="32"/>
          <w:lang w:eastAsia="zh-CN"/>
        </w:rPr>
        <w:t>：</w:t>
      </w:r>
      <w:r>
        <w:rPr>
          <w:rFonts w:ascii="仿宋_GB2312" w:eastAsia="仿宋_GB2312"/>
          <w:sz w:val="32"/>
          <w:szCs w:val="32"/>
        </w:rPr>
        <w:t>对</w:t>
      </w:r>
      <w:bookmarkStart w:id="1" w:name="OLE_LINK2"/>
      <w:r>
        <w:rPr>
          <w:rFonts w:hint="eastAsia" w:ascii="仿宋_GB2312" w:eastAsia="仿宋_GB2312"/>
          <w:sz w:val="32"/>
          <w:szCs w:val="32"/>
        </w:rPr>
        <w:t>陕西锌业有限公司</w:t>
      </w:r>
      <w:bookmarkEnd w:id="1"/>
      <w:r>
        <w:rPr>
          <w:rFonts w:hint="eastAsia" w:ascii="仿宋_GB2312" w:eastAsia="仿宋_GB2312"/>
          <w:sz w:val="32"/>
          <w:szCs w:val="32"/>
        </w:rPr>
        <w:t>OA</w:t>
      </w:r>
      <w:r>
        <w:rPr>
          <w:rFonts w:ascii="仿宋_GB2312" w:eastAsia="仿宋_GB2312"/>
          <w:sz w:val="32"/>
          <w:szCs w:val="32"/>
        </w:rPr>
        <w:t>系统</w:t>
      </w:r>
      <w:r>
        <w:rPr>
          <w:rFonts w:hint="eastAsia" w:ascii="仿宋_GB2312" w:eastAsia="仿宋_GB2312"/>
          <w:sz w:val="32"/>
          <w:szCs w:val="32"/>
        </w:rPr>
        <w:t>、财务系统按照等保二级的要求</w:t>
      </w:r>
      <w:r>
        <w:rPr>
          <w:rFonts w:ascii="仿宋_GB2312" w:eastAsia="仿宋_GB2312"/>
          <w:sz w:val="32"/>
          <w:szCs w:val="32"/>
        </w:rPr>
        <w:t>开展全面的网络安全等级保护测评工作，包括但不限于安全物理环境、安全计算环境、安全区域边界、安全通信网络、安全管理中心以及安全管理机构、安全管理制度、安全管理人员、安全建设管理和安全运维管理等多个方面的测评，以确保</w:t>
      </w:r>
      <w:r>
        <w:rPr>
          <w:rFonts w:hint="eastAsia" w:ascii="仿宋_GB2312" w:eastAsia="仿宋_GB2312"/>
          <w:sz w:val="32"/>
          <w:szCs w:val="32"/>
        </w:rPr>
        <w:t>公司</w:t>
      </w:r>
      <w:r>
        <w:rPr>
          <w:rFonts w:ascii="仿宋_GB2312" w:eastAsia="仿宋_GB2312"/>
          <w:sz w:val="32"/>
          <w:szCs w:val="32"/>
        </w:rPr>
        <w:t>信息系统符合国家网络安全等级保护相关标准和要求。</w:t>
      </w:r>
    </w:p>
    <w:p w14:paraId="222D130B">
      <w:pPr>
        <w:pStyle w:val="23"/>
        <w:keepNext w:val="0"/>
        <w:keepLines w:val="0"/>
        <w:pageBreakBefore w:val="0"/>
        <w:widowControl w:val="0"/>
        <w:kinsoku/>
        <w:wordWrap/>
        <w:overflowPunct w:val="0"/>
        <w:topLinePunct w:val="0"/>
        <w:autoSpaceDE w:val="0"/>
        <w:autoSpaceDN w:val="0"/>
        <w:bidi w:val="0"/>
        <w:adjustRightInd/>
        <w:snapToGrid/>
        <w:spacing w:line="560" w:lineRule="exact"/>
        <w:textAlignment w:val="auto"/>
        <w:rPr>
          <w:rFonts w:hint="eastAsia" w:ascii="仿宋_GB2312" w:eastAsia="仿宋_GB2312"/>
          <w:b/>
          <w:bCs/>
          <w:sz w:val="32"/>
          <w:szCs w:val="32"/>
        </w:rPr>
      </w:pPr>
      <w:r>
        <w:rPr>
          <w:rFonts w:hint="eastAsia" w:ascii="仿宋_GB2312" w:eastAsia="仿宋_GB2312"/>
          <w:b/>
          <w:bCs/>
          <w:sz w:val="32"/>
          <w:szCs w:val="32"/>
          <w:lang w:eastAsia="zh-CN"/>
        </w:rPr>
        <w:t>二、</w:t>
      </w:r>
      <w:r>
        <w:rPr>
          <w:rFonts w:hint="eastAsia" w:ascii="仿宋_GB2312" w:eastAsia="仿宋_GB2312"/>
          <w:b/>
          <w:bCs/>
          <w:sz w:val="32"/>
          <w:szCs w:val="32"/>
        </w:rPr>
        <w:t>供应商资格</w:t>
      </w:r>
      <w:r>
        <w:rPr>
          <w:rFonts w:hint="eastAsia" w:ascii="仿宋_GB2312" w:eastAsia="仿宋_GB2312"/>
          <w:b/>
          <w:bCs/>
          <w:sz w:val="32"/>
          <w:szCs w:val="32"/>
          <w:lang w:val="en-US" w:eastAsia="zh-CN"/>
        </w:rPr>
        <w:t>要</w:t>
      </w:r>
      <w:r>
        <w:rPr>
          <w:rFonts w:hint="eastAsia" w:ascii="仿宋_GB2312" w:eastAsia="仿宋_GB2312"/>
          <w:b/>
          <w:bCs/>
          <w:sz w:val="32"/>
          <w:szCs w:val="32"/>
        </w:rPr>
        <w:t>求</w:t>
      </w:r>
    </w:p>
    <w:p w14:paraId="118932F5">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lang w:eastAsia="zh-CN"/>
        </w:rPr>
      </w:pPr>
      <w:r>
        <w:rPr>
          <w:rFonts w:hint="eastAsia" w:ascii="仿宋_GB2312" w:eastAsia="仿宋_GB2312"/>
          <w:sz w:val="32"/>
          <w:szCs w:val="32"/>
        </w:rPr>
        <w:t>1.企业法人资格的证</w:t>
      </w:r>
      <w:r>
        <w:rPr>
          <w:rFonts w:hint="eastAsia" w:ascii="仿宋_GB2312" w:eastAsia="仿宋_GB2312"/>
          <w:sz w:val="32"/>
          <w:szCs w:val="32"/>
          <w:lang w:val="en-US" w:eastAsia="zh-CN"/>
        </w:rPr>
        <w:t>明、</w:t>
      </w:r>
      <w:r>
        <w:rPr>
          <w:rFonts w:hint="eastAsia" w:ascii="仿宋_GB2312" w:eastAsia="仿宋_GB2312"/>
          <w:sz w:val="32"/>
          <w:szCs w:val="32"/>
        </w:rPr>
        <w:t>营业执照等相关证明文件</w:t>
      </w:r>
      <w:r>
        <w:rPr>
          <w:rFonts w:hint="eastAsia" w:ascii="仿宋_GB2312" w:eastAsia="仿宋_GB2312"/>
          <w:sz w:val="32"/>
          <w:szCs w:val="32"/>
          <w:lang w:eastAsia="zh-CN"/>
        </w:rPr>
        <w:t>。</w:t>
      </w:r>
    </w:p>
    <w:p w14:paraId="74832CD1">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lang w:eastAsia="zh-CN"/>
        </w:rPr>
      </w:pPr>
      <w:r>
        <w:rPr>
          <w:rFonts w:hint="eastAsia" w:ascii="仿宋_GB2312" w:eastAsia="仿宋_GB2312"/>
          <w:sz w:val="32"/>
          <w:szCs w:val="32"/>
        </w:rPr>
        <w:t>2.</w:t>
      </w:r>
      <w:r>
        <w:rPr>
          <w:rFonts w:ascii="仿宋_GB2312" w:eastAsia="仿宋_GB2312"/>
          <w:sz w:val="32"/>
          <w:szCs w:val="32"/>
        </w:rPr>
        <w:t>法定代表人身份证明</w:t>
      </w:r>
      <w:r>
        <w:rPr>
          <w:rFonts w:hint="eastAsia" w:ascii="仿宋_GB2312" w:eastAsia="仿宋_GB2312"/>
          <w:sz w:val="32"/>
          <w:szCs w:val="32"/>
        </w:rPr>
        <w:t>或者</w:t>
      </w:r>
      <w:r>
        <w:rPr>
          <w:rFonts w:ascii="仿宋_GB2312" w:eastAsia="仿宋_GB2312"/>
          <w:sz w:val="32"/>
          <w:szCs w:val="32"/>
        </w:rPr>
        <w:t>法定代表人授权委托书：法定代表人直接参加的，须提供法定代表人身份证明；法定代表人授权他人参加的，须提供法定代表人授权委托书</w:t>
      </w:r>
      <w:r>
        <w:rPr>
          <w:rFonts w:hint="eastAsia" w:ascii="仿宋_GB2312" w:eastAsia="仿宋_GB2312"/>
          <w:sz w:val="32"/>
          <w:szCs w:val="32"/>
          <w:lang w:eastAsia="zh-CN"/>
        </w:rPr>
        <w:t>。</w:t>
      </w:r>
    </w:p>
    <w:p w14:paraId="0E0CC7B3">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3.</w:t>
      </w:r>
      <w:r>
        <w:rPr>
          <w:rFonts w:ascii="仿宋_GB2312" w:eastAsia="仿宋_GB2312"/>
          <w:sz w:val="32"/>
          <w:szCs w:val="32"/>
        </w:rPr>
        <w:t>具备</w:t>
      </w:r>
      <w:r>
        <w:rPr>
          <w:rFonts w:hint="eastAsia" w:ascii="仿宋_GB2312" w:eastAsia="仿宋_GB2312"/>
          <w:sz w:val="32"/>
          <w:szCs w:val="32"/>
        </w:rPr>
        <w:t>“网络安全服务认证证书等级保护测评服务认证”</w:t>
      </w:r>
      <w:r>
        <w:rPr>
          <w:rFonts w:ascii="仿宋_GB2312" w:eastAsia="仿宋_GB2312"/>
          <w:sz w:val="32"/>
          <w:szCs w:val="32"/>
        </w:rPr>
        <w:t>证书，并提供入围中国网络安全等级保护网（</w:t>
      </w:r>
      <w:r>
        <w:fldChar w:fldCharType="begin"/>
      </w:r>
      <w:r>
        <w:instrText xml:space="preserve"> HYPERLINK "https://www.djbh.net/" \t "_blank" </w:instrText>
      </w:r>
      <w:r>
        <w:fldChar w:fldCharType="separate"/>
      </w:r>
      <w:r>
        <w:rPr>
          <w:rFonts w:ascii="仿宋_GB2312" w:eastAsia="仿宋_GB2312"/>
          <w:sz w:val="32"/>
          <w:szCs w:val="32"/>
        </w:rPr>
        <w:t>www.djbh.net</w:t>
      </w:r>
      <w:r>
        <w:rPr>
          <w:rFonts w:ascii="仿宋_GB2312" w:eastAsia="仿宋_GB2312"/>
          <w:sz w:val="32"/>
          <w:szCs w:val="32"/>
        </w:rPr>
        <w:fldChar w:fldCharType="end"/>
      </w:r>
      <w:r>
        <w:rPr>
          <w:rFonts w:ascii="仿宋_GB2312" w:eastAsia="仿宋_GB2312"/>
          <w:sz w:val="32"/>
          <w:szCs w:val="32"/>
        </w:rPr>
        <w:t>）全国等级保护测评机构推荐目录截图（截图需完整显示投标人名称）。</w:t>
      </w:r>
    </w:p>
    <w:p w14:paraId="7B9C8634">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lang w:eastAsia="zh-CN"/>
        </w:rPr>
      </w:pPr>
      <w:r>
        <w:rPr>
          <w:rFonts w:hint="eastAsia" w:ascii="仿宋_GB2312" w:eastAsia="仿宋_GB2312"/>
          <w:sz w:val="32"/>
          <w:szCs w:val="32"/>
        </w:rPr>
        <w:t>4.</w:t>
      </w:r>
      <w:r>
        <w:rPr>
          <w:rFonts w:ascii="仿宋_GB2312" w:eastAsia="仿宋_GB2312"/>
          <w:sz w:val="32"/>
          <w:szCs w:val="32"/>
        </w:rPr>
        <w:t xml:space="preserve"> 信用记录：供应商不得为“信用中国”网站（www.creditchina.gov.cn）中 列入失信被执行人和重大税收违法案件当事人名单的供应商，不得为中国政府采购网（w ww.ccgp.gov.cn）政府采购严重违法失信行为记录名单中被财政部门禁止参加政府采购活动的供应商</w:t>
      </w:r>
      <w:r>
        <w:rPr>
          <w:rFonts w:hint="eastAsia" w:ascii="仿宋_GB2312" w:eastAsia="仿宋_GB2312"/>
          <w:sz w:val="32"/>
          <w:szCs w:val="32"/>
          <w:lang w:eastAsia="zh-CN"/>
        </w:rPr>
        <w:t>。</w:t>
      </w:r>
    </w:p>
    <w:p w14:paraId="0DE93924">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5.</w:t>
      </w:r>
      <w:r>
        <w:rPr>
          <w:rFonts w:hint="eastAsia" w:ascii="仿宋" w:hAnsi="仿宋" w:eastAsia="仿宋" w:cstheme="minorBidi"/>
          <w:color w:val="000000"/>
          <w:kern w:val="2"/>
          <w:sz w:val="32"/>
          <w:szCs w:val="32"/>
        </w:rPr>
        <w:t xml:space="preserve"> </w:t>
      </w:r>
      <w:r>
        <w:rPr>
          <w:rFonts w:hint="eastAsia" w:ascii="仿宋_GB2312" w:eastAsia="仿宋_GB2312"/>
          <w:sz w:val="32"/>
          <w:szCs w:val="32"/>
        </w:rPr>
        <w:t>业绩要求：供应商2022年5月至今具有类似业绩至少</w:t>
      </w:r>
      <w:r>
        <w:rPr>
          <w:rFonts w:hint="eastAsia" w:ascii="仿宋_GB2312" w:eastAsia="仿宋_GB2312"/>
          <w:sz w:val="32"/>
          <w:szCs w:val="32"/>
          <w:lang w:val="en-US" w:eastAsia="zh-CN"/>
        </w:rPr>
        <w:t>3</w:t>
      </w:r>
      <w:r>
        <w:rPr>
          <w:rFonts w:hint="eastAsia" w:ascii="仿宋_GB2312" w:eastAsia="仿宋_GB2312"/>
          <w:sz w:val="32"/>
          <w:szCs w:val="32"/>
        </w:rPr>
        <w:t>份（提供合同复印件，时间以合同签订时间为准）；业绩未按前述要求提供，否决其响应文件。</w:t>
      </w:r>
    </w:p>
    <w:p w14:paraId="6EFDE000">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6.</w:t>
      </w:r>
      <w:r>
        <w:rPr>
          <w:rFonts w:ascii="仿宋_GB2312" w:eastAsia="仿宋_GB2312"/>
          <w:sz w:val="32"/>
          <w:szCs w:val="32"/>
        </w:rPr>
        <w:t>本项目不接受联合体</w:t>
      </w:r>
      <w:r>
        <w:rPr>
          <w:rFonts w:hint="eastAsia" w:ascii="仿宋_GB2312" w:eastAsia="仿宋_GB2312"/>
          <w:sz w:val="32"/>
          <w:szCs w:val="32"/>
          <w:lang w:val="en-US" w:eastAsia="zh-CN"/>
        </w:rPr>
        <w:t>响应</w:t>
      </w:r>
      <w:r>
        <w:rPr>
          <w:rFonts w:ascii="仿宋_GB2312" w:eastAsia="仿宋_GB2312"/>
          <w:sz w:val="32"/>
          <w:szCs w:val="32"/>
        </w:rPr>
        <w:t>。</w:t>
      </w:r>
    </w:p>
    <w:p w14:paraId="3B7C42D7">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7.其他要求：</w:t>
      </w:r>
    </w:p>
    <w:p w14:paraId="4D4ADF9C">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供应商不得存在下列情形之一：</w:t>
      </w:r>
    </w:p>
    <w:p w14:paraId="1385768A">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（1）与采购人存在利害关系可能影响询比采购公正性；</w:t>
      </w:r>
    </w:p>
    <w:p w14:paraId="5D973695">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（2）法定代表人（单位负责人）为同一人或者存在控股、管理关系的不同法人或其他组织同时参加询比采购；</w:t>
      </w:r>
    </w:p>
    <w:p w14:paraId="536444B8">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（3）被依法暂停或者取消询比采购资格；</w:t>
      </w:r>
    </w:p>
    <w:p w14:paraId="0485461A">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（4）被责令停产停业、暂扣或者吊销许可证、暂扣或者吊销执照；</w:t>
      </w:r>
    </w:p>
    <w:p w14:paraId="185459D7">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（5）进入清算程序，或被宣告破产，或其他丧失履约能力的情形；</w:t>
      </w:r>
    </w:p>
    <w:p w14:paraId="4281D3BD">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（6）在最近三年内发生重大问题；</w:t>
      </w:r>
    </w:p>
    <w:p w14:paraId="67F7D750">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（7）法律法规规定的其他情形。</w:t>
      </w:r>
    </w:p>
    <w:p w14:paraId="0EFAA018">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leftChars="0" w:firstLine="641" w:firstLineChars="200"/>
        <w:textAlignment w:val="auto"/>
        <w:rPr>
          <w:rFonts w:hint="eastAsia" w:ascii="仿宋_GB2312" w:eastAsia="仿宋_GB2312"/>
          <w:sz w:val="32"/>
          <w:szCs w:val="32"/>
        </w:rPr>
      </w:pPr>
      <w:bookmarkStart w:id="2" w:name="OLE_LINK3"/>
      <w:r>
        <w:rPr>
          <w:rFonts w:hint="eastAsia" w:ascii="华文仿宋" w:hAnsi="华文仿宋" w:eastAsia="华文仿宋" w:cs="仿宋_GB2312"/>
          <w:color w:val="000000"/>
          <w:sz w:val="32"/>
          <w:szCs w:val="32"/>
          <w:lang w:val="en-US" w:eastAsia="zh-CN"/>
        </w:rPr>
        <w:t>三、</w:t>
      </w:r>
      <w:r>
        <w:rPr>
          <w:rFonts w:hint="eastAsia" w:ascii="华文仿宋" w:hAnsi="华文仿宋" w:eastAsia="华文仿宋" w:cs="仿宋_GB2312"/>
          <w:color w:val="000000"/>
          <w:sz w:val="32"/>
          <w:szCs w:val="32"/>
        </w:rPr>
        <w:t>获取</w:t>
      </w:r>
      <w:r>
        <w:rPr>
          <w:rFonts w:hint="eastAsia" w:ascii="华文仿宋" w:hAnsi="华文仿宋" w:eastAsia="华文仿宋" w:cs="仿宋_GB2312"/>
          <w:color w:val="000000"/>
          <w:sz w:val="32"/>
          <w:szCs w:val="32"/>
          <w:lang w:val="en-US" w:eastAsia="zh-CN"/>
        </w:rPr>
        <w:t>询比</w:t>
      </w:r>
      <w:r>
        <w:rPr>
          <w:rFonts w:hint="eastAsia" w:ascii="华文仿宋" w:hAnsi="华文仿宋" w:eastAsia="华文仿宋" w:cs="仿宋_GB2312"/>
          <w:color w:val="000000"/>
          <w:sz w:val="32"/>
          <w:szCs w:val="32"/>
        </w:rPr>
        <w:t>文件</w:t>
      </w:r>
      <w:bookmarkEnd w:id="2"/>
    </w:p>
    <w:p w14:paraId="102D9DC8">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询比采购文件已与本《采购邀请函》同时在陕西锌业有限公司网络询比采购平台（www.sxxyjjpt.com）发布，符合条件的供应商可自行下载采购文件。</w:t>
      </w:r>
    </w:p>
    <w:p w14:paraId="1FB9F9A4">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leftChars="0" w:firstLine="641" w:firstLineChars="200"/>
        <w:textAlignment w:val="auto"/>
        <w:rPr>
          <w:rFonts w:hint="eastAsia" w:ascii="华文仿宋" w:hAnsi="华文仿宋" w:eastAsia="华文仿宋" w:cs="仿宋_GB2312"/>
          <w:color w:val="000000"/>
          <w:sz w:val="32"/>
          <w:szCs w:val="32"/>
        </w:rPr>
      </w:pPr>
      <w:bookmarkStart w:id="3" w:name="OLE_LINK4"/>
      <w:r>
        <w:rPr>
          <w:rFonts w:hint="eastAsia" w:ascii="华文仿宋" w:hAnsi="华文仿宋" w:eastAsia="华文仿宋" w:cs="仿宋_GB2312"/>
          <w:color w:val="000000"/>
          <w:sz w:val="32"/>
          <w:szCs w:val="32"/>
          <w:lang w:val="en-US" w:eastAsia="zh-CN"/>
        </w:rPr>
        <w:t>四、响应</w:t>
      </w:r>
      <w:r>
        <w:rPr>
          <w:rFonts w:hint="eastAsia" w:ascii="华文仿宋" w:hAnsi="华文仿宋" w:eastAsia="华文仿宋" w:cs="仿宋_GB2312"/>
          <w:color w:val="000000"/>
          <w:sz w:val="32"/>
          <w:szCs w:val="32"/>
        </w:rPr>
        <w:t>文件递交</w:t>
      </w:r>
    </w:p>
    <w:bookmarkEnd w:id="3"/>
    <w:p w14:paraId="4D77C3D4">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default" w:ascii="仿宋_GB2312" w:eastAsia="仿宋_GB2312"/>
          <w:sz w:val="32"/>
          <w:szCs w:val="32"/>
          <w:lang w:val="en-US"/>
        </w:rPr>
      </w:pPr>
      <w:r>
        <w:rPr>
          <w:rFonts w:hint="eastAsia" w:ascii="仿宋_GB2312" w:eastAsia="仿宋_GB2312"/>
          <w:sz w:val="32"/>
          <w:szCs w:val="32"/>
        </w:rPr>
        <w:t>1.</w:t>
      </w:r>
      <w:r>
        <w:rPr>
          <w:rFonts w:hint="eastAsia" w:ascii="仿宋_GB2312" w:eastAsia="仿宋_GB2312"/>
          <w:sz w:val="32"/>
          <w:szCs w:val="32"/>
          <w:lang w:val="en-US" w:eastAsia="zh-CN"/>
        </w:rPr>
        <w:t>响应文件提</w:t>
      </w:r>
      <w:r>
        <w:rPr>
          <w:rFonts w:hint="eastAsia" w:ascii="仿宋_GB2312" w:eastAsia="仿宋_GB2312"/>
          <w:sz w:val="32"/>
          <w:szCs w:val="32"/>
        </w:rPr>
        <w:t>交截止时间：</w:t>
      </w:r>
      <w:r>
        <w:rPr>
          <w:rFonts w:hint="eastAsia" w:ascii="仿宋_GB2312" w:eastAsia="仿宋_GB2312"/>
          <w:sz w:val="32"/>
          <w:szCs w:val="32"/>
          <w:lang w:val="en-US" w:eastAsia="zh-CN"/>
        </w:rPr>
        <w:t>2025年7月7日11时前</w:t>
      </w:r>
    </w:p>
    <w:p w14:paraId="1EB4BAC9">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2.提交方法：将响应文件密封后直接送达或邮寄至陕西锌业有限公司办公楼二楼招投标办公室。</w:t>
      </w:r>
    </w:p>
    <w:p w14:paraId="59847F39">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邮递地址：陕西省商洛市商州区沙河子镇陕西锌业有限公司招投标办公室  </w:t>
      </w:r>
    </w:p>
    <w:p w14:paraId="2AAB2797">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default" w:ascii="仿宋_GB2312" w:eastAsia="仿宋_GB2312"/>
          <w:sz w:val="32"/>
          <w:szCs w:val="32"/>
          <w:lang w:val="en-US" w:eastAsia="zh-CN"/>
        </w:rPr>
      </w:pPr>
      <w:r>
        <w:rPr>
          <w:rFonts w:hint="eastAsia" w:ascii="仿宋_GB2312" w:eastAsia="仿宋_GB2312"/>
          <w:sz w:val="32"/>
          <w:szCs w:val="32"/>
        </w:rPr>
        <w:t>收件人：</w:t>
      </w:r>
      <w:r>
        <w:rPr>
          <w:rFonts w:hint="eastAsia" w:ascii="仿宋_GB2312" w:eastAsia="仿宋_GB2312"/>
          <w:sz w:val="32"/>
          <w:szCs w:val="32"/>
          <w:lang w:eastAsia="zh-CN"/>
        </w:rPr>
        <w:t>李晶</w:t>
      </w:r>
      <w:r>
        <w:rPr>
          <w:rFonts w:hint="eastAsia" w:ascii="仿宋_GB2312" w:eastAsia="仿宋_GB2312"/>
          <w:sz w:val="32"/>
          <w:szCs w:val="32"/>
        </w:rPr>
        <w:t>   电话：</w:t>
      </w:r>
      <w:r>
        <w:rPr>
          <w:rFonts w:hint="eastAsia" w:ascii="仿宋_GB2312" w:eastAsia="仿宋_GB2312"/>
          <w:sz w:val="32"/>
          <w:szCs w:val="32"/>
          <w:lang w:val="en-US" w:eastAsia="zh-CN"/>
        </w:rPr>
        <w:t>13909142887</w:t>
      </w:r>
    </w:p>
    <w:p w14:paraId="1DF4B571">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3.注意事项：</w:t>
      </w:r>
      <w:r>
        <w:rPr>
          <w:rFonts w:hint="eastAsia" w:ascii="仿宋_GB2312" w:eastAsia="仿宋_GB2312"/>
          <w:sz w:val="32"/>
          <w:szCs w:val="32"/>
          <w:lang w:val="en-US" w:eastAsia="zh-CN"/>
        </w:rPr>
        <w:t>响应</w:t>
      </w:r>
      <w:r>
        <w:rPr>
          <w:rFonts w:hint="eastAsia" w:ascii="仿宋_GB2312" w:eastAsia="仿宋_GB2312"/>
          <w:sz w:val="32"/>
          <w:szCs w:val="32"/>
        </w:rPr>
        <w:t>文件应密封包</w:t>
      </w:r>
      <w:r>
        <w:rPr>
          <w:rFonts w:ascii="仿宋_GB2312" w:eastAsia="仿宋_GB2312"/>
          <w:sz w:val="32"/>
          <w:szCs w:val="32"/>
        </w:rPr>
        <w:t>装，注明项目名称、项目编号、投标人名称等信息，并加盖人公章。逾期送达或未按照要求密封的</w:t>
      </w:r>
      <w:r>
        <w:rPr>
          <w:rFonts w:hint="eastAsia" w:ascii="仿宋_GB2312" w:eastAsia="仿宋_GB2312"/>
          <w:sz w:val="32"/>
          <w:szCs w:val="32"/>
          <w:lang w:val="en-US" w:eastAsia="zh-CN"/>
        </w:rPr>
        <w:t>响应</w:t>
      </w:r>
      <w:r>
        <w:rPr>
          <w:rFonts w:ascii="仿宋_GB2312" w:eastAsia="仿宋_GB2312"/>
          <w:sz w:val="32"/>
          <w:szCs w:val="32"/>
        </w:rPr>
        <w:t>文件，采购人将拒收。</w:t>
      </w:r>
    </w:p>
    <w:p w14:paraId="6EC794DB">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firstLine="641" w:firstLineChars="200"/>
        <w:textAlignment w:val="auto"/>
        <w:rPr>
          <w:rFonts w:hint="eastAsia" w:ascii="华文仿宋" w:hAnsi="华文仿宋" w:eastAsia="华文仿宋" w:cs="仿宋_GB2312"/>
          <w:color w:val="000000"/>
          <w:sz w:val="32"/>
          <w:szCs w:val="32"/>
        </w:rPr>
      </w:pPr>
      <w:r>
        <w:rPr>
          <w:rFonts w:hint="eastAsia" w:ascii="华文仿宋" w:hAnsi="华文仿宋" w:eastAsia="华文仿宋" w:cs="仿宋_GB2312"/>
          <w:color w:val="000000"/>
          <w:sz w:val="32"/>
          <w:szCs w:val="32"/>
          <w:lang w:val="en-US" w:eastAsia="zh-CN"/>
        </w:rPr>
        <w:t>五、响应文件的评审</w:t>
      </w:r>
    </w:p>
    <w:p w14:paraId="1DD75902">
      <w:pPr>
        <w:pStyle w:val="23"/>
        <w:keepNext w:val="0"/>
        <w:keepLines w:val="0"/>
        <w:pageBreakBefore w:val="0"/>
        <w:widowControl w:val="0"/>
        <w:numPr>
          <w:ilvl w:val="0"/>
          <w:numId w:val="0"/>
        </w:numPr>
        <w:kinsoku/>
        <w:wordWrap/>
        <w:overflowPunct w:val="0"/>
        <w:topLinePunct w:val="0"/>
        <w:autoSpaceDE w:val="0"/>
        <w:autoSpaceDN w:val="0"/>
        <w:bidi w:val="0"/>
        <w:adjustRightInd/>
        <w:snapToGrid/>
        <w:spacing w:line="560" w:lineRule="exact"/>
        <w:ind w:left="645" w:leftChars="307" w:firstLine="92" w:firstLineChars="29"/>
        <w:textAlignment w:val="auto"/>
        <w:rPr>
          <w:rFonts w:hint="eastAsia" w:ascii="仿宋_GB2312" w:eastAsia="仿宋_GB2312"/>
          <w:sz w:val="32"/>
          <w:szCs w:val="32"/>
          <w:lang w:val="en-US" w:eastAsia="zh-CN"/>
        </w:rPr>
      </w:pPr>
      <w:r>
        <w:rPr>
          <w:rFonts w:hint="eastAsia" w:ascii="仿宋_GB2312" w:eastAsia="仿宋_GB2312" w:cs="等线"/>
          <w:sz w:val="32"/>
          <w:szCs w:val="32"/>
          <w:lang w:val="en-US" w:eastAsia="zh-CN" w:bidi="ar-SA"/>
        </w:rPr>
        <w:t>1.评审</w:t>
      </w:r>
      <w:r>
        <w:rPr>
          <w:rFonts w:hint="eastAsia" w:ascii="仿宋_GB2312" w:eastAsia="仿宋_GB2312"/>
          <w:sz w:val="32"/>
          <w:szCs w:val="32"/>
        </w:rPr>
        <w:t>时间：</w:t>
      </w:r>
      <w:r>
        <w:rPr>
          <w:rFonts w:hint="eastAsia" w:ascii="仿宋_GB2312" w:eastAsia="仿宋_GB2312"/>
          <w:sz w:val="32"/>
          <w:szCs w:val="32"/>
          <w:lang w:val="en-US" w:eastAsia="zh-CN"/>
        </w:rPr>
        <w:t>2025年7月7日下午14时</w:t>
      </w:r>
    </w:p>
    <w:p w14:paraId="1315F7A2">
      <w:pPr>
        <w:pStyle w:val="23"/>
        <w:keepNext w:val="0"/>
        <w:keepLines w:val="0"/>
        <w:pageBreakBefore w:val="0"/>
        <w:widowControl w:val="0"/>
        <w:numPr>
          <w:ilvl w:val="0"/>
          <w:numId w:val="0"/>
        </w:numPr>
        <w:kinsoku/>
        <w:wordWrap/>
        <w:overflowPunct w:val="0"/>
        <w:topLinePunct w:val="0"/>
        <w:autoSpaceDE w:val="0"/>
        <w:autoSpaceDN w:val="0"/>
        <w:bidi w:val="0"/>
        <w:adjustRightInd/>
        <w:snapToGrid/>
        <w:spacing w:line="560" w:lineRule="exact"/>
        <w:ind w:left="645" w:leftChars="307" w:firstLine="92" w:firstLineChars="29"/>
        <w:textAlignment w:val="auto"/>
        <w:rPr>
          <w:rFonts w:hint="eastAsia" w:ascii="仿宋_GB2312" w:eastAsia="仿宋_GB2312"/>
          <w:sz w:val="32"/>
          <w:szCs w:val="32"/>
          <w:lang w:eastAsia="zh-CN"/>
        </w:rPr>
      </w:pPr>
      <w:r>
        <w:rPr>
          <w:rFonts w:hint="default" w:ascii="仿宋_GB2312" w:hAnsi="等线" w:eastAsia="仿宋_GB2312" w:cs="等线"/>
          <w:sz w:val="32"/>
          <w:szCs w:val="32"/>
          <w:lang w:val="en-US" w:eastAsia="zh-CN" w:bidi="ar-SA"/>
        </w:rPr>
        <w:t>2.</w:t>
      </w:r>
      <w:r>
        <w:rPr>
          <w:rFonts w:hint="eastAsia" w:ascii="仿宋_GB2312" w:eastAsia="仿宋_GB2312" w:cs="等线"/>
          <w:sz w:val="32"/>
          <w:szCs w:val="32"/>
          <w:lang w:val="en-US" w:eastAsia="zh-CN" w:bidi="ar-SA"/>
        </w:rPr>
        <w:t>评审</w:t>
      </w:r>
      <w:r>
        <w:rPr>
          <w:rFonts w:hint="eastAsia" w:ascii="仿宋_GB2312" w:eastAsia="仿宋_GB2312"/>
          <w:sz w:val="32"/>
          <w:szCs w:val="32"/>
        </w:rPr>
        <w:t>地点：</w:t>
      </w:r>
      <w:r>
        <w:rPr>
          <w:rFonts w:hint="eastAsia" w:ascii="仿宋_GB2312" w:eastAsia="仿宋_GB2312"/>
          <w:sz w:val="32"/>
          <w:szCs w:val="32"/>
          <w:lang w:eastAsia="zh-CN"/>
        </w:rPr>
        <w:t>公司办公楼二楼</w:t>
      </w:r>
      <w:r>
        <w:rPr>
          <w:rFonts w:hint="eastAsia" w:ascii="仿宋_GB2312" w:eastAsia="仿宋_GB2312"/>
          <w:sz w:val="32"/>
          <w:szCs w:val="32"/>
          <w:lang w:val="en-US" w:eastAsia="zh-CN"/>
        </w:rPr>
        <w:t>开</w:t>
      </w:r>
      <w:r>
        <w:rPr>
          <w:rFonts w:hint="eastAsia" w:ascii="仿宋_GB2312" w:eastAsia="仿宋_GB2312"/>
          <w:sz w:val="32"/>
          <w:szCs w:val="32"/>
          <w:lang w:eastAsia="zh-CN"/>
        </w:rPr>
        <w:t>标室</w:t>
      </w:r>
      <w:bookmarkStart w:id="4" w:name="OLE_LINK5"/>
    </w:p>
    <w:p w14:paraId="05E59F41">
      <w:pPr>
        <w:pStyle w:val="23"/>
        <w:keepNext w:val="0"/>
        <w:keepLines w:val="0"/>
        <w:pageBreakBefore w:val="0"/>
        <w:widowControl w:val="0"/>
        <w:numPr>
          <w:ilvl w:val="0"/>
          <w:numId w:val="0"/>
        </w:numPr>
        <w:kinsoku/>
        <w:wordWrap/>
        <w:overflowPunct w:val="0"/>
        <w:topLinePunct w:val="0"/>
        <w:autoSpaceDE w:val="0"/>
        <w:autoSpaceDN w:val="0"/>
        <w:bidi w:val="0"/>
        <w:adjustRightInd/>
        <w:snapToGrid/>
        <w:spacing w:line="560" w:lineRule="exact"/>
        <w:ind w:left="645" w:leftChars="307" w:firstLine="92" w:firstLineChars="29"/>
        <w:textAlignment w:val="auto"/>
        <w:rPr>
          <w:rFonts w:hint="eastAsia" w:ascii="仿宋" w:hAnsi="仿宋" w:eastAsia="仿宋" w:cs="仿宋"/>
          <w:b w:val="0"/>
          <w:bCs w:val="0"/>
          <w:color w:val="000000"/>
          <w:sz w:val="32"/>
          <w:szCs w:val="32"/>
          <w:lang w:eastAsia="zh-CN"/>
        </w:rPr>
      </w:pPr>
      <w:r>
        <w:rPr>
          <w:rFonts w:hint="eastAsia" w:ascii="仿宋_GB2312" w:eastAsia="仿宋_GB2312"/>
          <w:sz w:val="32"/>
          <w:szCs w:val="32"/>
          <w:lang w:val="en-US" w:eastAsia="zh-CN"/>
        </w:rPr>
        <w:t>3.</w:t>
      </w:r>
      <w:r>
        <w:rPr>
          <w:rFonts w:hint="eastAsia" w:ascii="仿宋" w:hAnsi="仿宋" w:eastAsia="仿宋" w:cs="仿宋"/>
          <w:b w:val="0"/>
          <w:bCs w:val="0"/>
          <w:color w:val="000000"/>
          <w:sz w:val="32"/>
          <w:szCs w:val="32"/>
        </w:rPr>
        <w:t>评</w:t>
      </w:r>
      <w:r>
        <w:rPr>
          <w:rFonts w:hint="eastAsia" w:ascii="仿宋" w:hAnsi="仿宋" w:eastAsia="仿宋" w:cs="仿宋"/>
          <w:b w:val="0"/>
          <w:bCs w:val="0"/>
          <w:color w:val="000000"/>
          <w:sz w:val="32"/>
          <w:szCs w:val="32"/>
          <w:lang w:val="en-US" w:eastAsia="zh-CN"/>
        </w:rPr>
        <w:t>审</w:t>
      </w:r>
      <w:r>
        <w:rPr>
          <w:rFonts w:hint="eastAsia" w:ascii="仿宋" w:hAnsi="仿宋" w:eastAsia="仿宋" w:cs="仿宋"/>
          <w:b w:val="0"/>
          <w:bCs w:val="0"/>
          <w:color w:val="000000"/>
          <w:sz w:val="32"/>
          <w:szCs w:val="32"/>
        </w:rPr>
        <w:t>方法</w:t>
      </w:r>
      <w:r>
        <w:rPr>
          <w:rFonts w:hint="eastAsia" w:ascii="仿宋" w:hAnsi="仿宋" w:eastAsia="仿宋" w:cs="仿宋"/>
          <w:b w:val="0"/>
          <w:bCs w:val="0"/>
          <w:color w:val="000000"/>
          <w:sz w:val="32"/>
          <w:szCs w:val="32"/>
          <w:lang w:eastAsia="zh-CN"/>
        </w:rPr>
        <w:t>：</w:t>
      </w:r>
      <w:bookmarkEnd w:id="4"/>
    </w:p>
    <w:p w14:paraId="3FB934DE">
      <w:pPr>
        <w:pStyle w:val="23"/>
        <w:keepNext w:val="0"/>
        <w:keepLines w:val="0"/>
        <w:pageBreakBefore w:val="0"/>
        <w:widowControl w:val="0"/>
        <w:numPr>
          <w:ilvl w:val="0"/>
          <w:numId w:val="0"/>
        </w:numPr>
        <w:kinsoku/>
        <w:wordWrap/>
        <w:overflowPunct w:val="0"/>
        <w:topLinePunct w:val="0"/>
        <w:autoSpaceDE w:val="0"/>
        <w:autoSpaceDN w:val="0"/>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_GB2312" w:hAnsi="等线" w:eastAsia="仿宋_GB2312" w:cs="等线"/>
          <w:kern w:val="0"/>
          <w:sz w:val="32"/>
          <w:szCs w:val="32"/>
          <w:lang w:val="en-US" w:eastAsia="zh-CN"/>
        </w:rPr>
        <w:t>本</w:t>
      </w:r>
      <w:r>
        <w:rPr>
          <w:rFonts w:hint="eastAsia" w:ascii="仿宋" w:hAnsi="仿宋" w:eastAsia="仿宋" w:cs="仿宋"/>
          <w:b w:val="0"/>
          <w:bCs w:val="0"/>
          <w:sz w:val="32"/>
          <w:szCs w:val="32"/>
          <w:lang w:val="en-US" w:eastAsia="zh-CN"/>
        </w:rPr>
        <w:t>项目采用</w:t>
      </w:r>
      <w:r>
        <w:rPr>
          <w:rFonts w:hint="eastAsia" w:ascii="仿宋" w:hAnsi="仿宋" w:eastAsia="仿宋" w:cs="仿宋"/>
          <w:b w:val="0"/>
          <w:bCs w:val="0"/>
          <w:sz w:val="32"/>
          <w:szCs w:val="32"/>
        </w:rPr>
        <w:t>最低评价法</w:t>
      </w:r>
      <w:r>
        <w:rPr>
          <w:rFonts w:hint="eastAsia" w:ascii="仿宋" w:hAnsi="仿宋" w:eastAsia="仿宋" w:cs="仿宋"/>
          <w:b w:val="0"/>
          <w:bCs w:val="0"/>
          <w:sz w:val="32"/>
          <w:szCs w:val="32"/>
          <w:lang w:val="en-US" w:eastAsia="zh-CN"/>
        </w:rPr>
        <w:t>确定候选单位</w:t>
      </w:r>
      <w:r>
        <w:rPr>
          <w:rFonts w:hint="eastAsia" w:ascii="仿宋" w:hAnsi="仿宋" w:eastAsia="仿宋" w:cs="仿宋"/>
          <w:b w:val="0"/>
          <w:bCs w:val="0"/>
          <w:sz w:val="32"/>
          <w:szCs w:val="32"/>
          <w:lang w:eastAsia="zh-CN"/>
        </w:rPr>
        <w:t>。</w:t>
      </w:r>
      <w:r>
        <w:rPr>
          <w:rFonts w:hint="eastAsia" w:ascii="仿宋" w:hAnsi="仿宋" w:eastAsia="仿宋" w:cs="仿宋"/>
          <w:b w:val="0"/>
          <w:bCs/>
          <w:sz w:val="32"/>
          <w:szCs w:val="32"/>
        </w:rPr>
        <w:t>即在全部满足询</w:t>
      </w:r>
      <w:r>
        <w:rPr>
          <w:rFonts w:hint="eastAsia" w:ascii="仿宋" w:hAnsi="仿宋" w:eastAsia="仿宋" w:cs="仿宋"/>
          <w:b w:val="0"/>
          <w:bCs/>
          <w:sz w:val="32"/>
          <w:szCs w:val="32"/>
          <w:lang w:val="en-US" w:eastAsia="zh-CN"/>
        </w:rPr>
        <w:t>比采购</w:t>
      </w:r>
      <w:r>
        <w:rPr>
          <w:rFonts w:hint="eastAsia" w:ascii="仿宋" w:hAnsi="仿宋" w:eastAsia="仿宋" w:cs="仿宋"/>
          <w:b w:val="0"/>
          <w:bCs/>
          <w:sz w:val="32"/>
          <w:szCs w:val="32"/>
        </w:rPr>
        <w:t>文件实质性要求前提下，以提出最低报价的供应商作为成交供应商。</w:t>
      </w:r>
      <w:r>
        <w:rPr>
          <w:rFonts w:hint="eastAsia" w:ascii="仿宋" w:hAnsi="仿宋" w:eastAsia="仿宋" w:cs="仿宋"/>
          <w:color w:val="auto"/>
          <w:kern w:val="0"/>
          <w:sz w:val="32"/>
          <w:szCs w:val="32"/>
          <w:highlight w:val="none"/>
          <w:lang w:val="en-US" w:eastAsia="zh-CN" w:bidi="ar"/>
        </w:rPr>
        <w:t>当</w:t>
      </w:r>
      <w:r>
        <w:rPr>
          <w:rFonts w:hint="eastAsia" w:ascii="仿宋" w:hAnsi="仿宋" w:eastAsia="仿宋" w:cs="仿宋"/>
          <w:color w:val="auto"/>
          <w:sz w:val="32"/>
          <w:szCs w:val="32"/>
          <w:lang w:val="en-US" w:eastAsia="zh-CN"/>
        </w:rPr>
        <w:t>同一采购项目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若</w:t>
      </w:r>
      <w:r>
        <w:rPr>
          <w:rFonts w:hint="eastAsia" w:ascii="仿宋" w:hAnsi="仿宋" w:eastAsia="仿宋" w:cs="仿宋"/>
          <w:color w:val="auto"/>
          <w:sz w:val="32"/>
          <w:szCs w:val="32"/>
          <w:lang w:val="en-US" w:eastAsia="zh-CN"/>
        </w:rPr>
        <w:t>出现两个以上</w:t>
      </w:r>
      <w:r>
        <w:rPr>
          <w:rFonts w:hint="eastAsia" w:ascii="仿宋" w:hAnsi="仿宋" w:eastAsia="仿宋" w:cs="仿宋"/>
          <w:color w:val="auto"/>
          <w:sz w:val="32"/>
          <w:szCs w:val="32"/>
        </w:rPr>
        <w:t>相同</w:t>
      </w:r>
      <w:r>
        <w:rPr>
          <w:rFonts w:hint="eastAsia" w:ascii="仿宋" w:hAnsi="仿宋" w:eastAsia="仿宋" w:cs="仿宋"/>
          <w:color w:val="auto"/>
          <w:sz w:val="32"/>
          <w:szCs w:val="32"/>
          <w:lang w:val="en-US" w:eastAsia="zh-CN"/>
        </w:rPr>
        <w:t>的报价，且该报价为最低价时</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由报价相同的供应商现场进行二次报价，报价低者排名在前。若二次报价仍相同的</w:t>
      </w:r>
      <w:r>
        <w:rPr>
          <w:rFonts w:hint="eastAsia" w:ascii="仿宋" w:hAnsi="仿宋" w:eastAsia="仿宋" w:cs="仿宋"/>
          <w:color w:val="auto"/>
          <w:sz w:val="32"/>
          <w:szCs w:val="32"/>
          <w:highlight w:val="none"/>
          <w:lang w:val="en-US" w:eastAsia="zh-CN"/>
        </w:rPr>
        <w:t>，供应商上一</w:t>
      </w:r>
      <w:r>
        <w:rPr>
          <w:rFonts w:hint="eastAsia" w:ascii="仿宋" w:hAnsi="仿宋" w:eastAsia="仿宋" w:cs="仿宋"/>
          <w:color w:val="auto"/>
          <w:sz w:val="32"/>
          <w:szCs w:val="32"/>
          <w:lang w:val="en-US" w:eastAsia="zh-CN"/>
        </w:rPr>
        <w:t>季度评价得分高者排名在前。</w:t>
      </w:r>
    </w:p>
    <w:p w14:paraId="5EF05222">
      <w:pPr>
        <w:pStyle w:val="4"/>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firstLine="640" w:firstLineChars="200"/>
        <w:jc w:val="both"/>
        <w:textAlignment w:val="auto"/>
        <w:rPr>
          <w:rFonts w:hint="eastAsia" w:ascii="仿宋" w:hAnsi="仿宋" w:eastAsia="仿宋" w:cs="仿宋"/>
          <w:b w:val="0"/>
          <w:bCs w:val="0"/>
          <w:color w:val="auto"/>
          <w:sz w:val="32"/>
          <w:szCs w:val="32"/>
        </w:rPr>
      </w:pPr>
      <w:bookmarkStart w:id="5" w:name="_Toc16094"/>
      <w:bookmarkStart w:id="6" w:name="_Toc30852"/>
      <w:bookmarkStart w:id="7" w:name="_Toc33795808"/>
      <w:bookmarkStart w:id="8" w:name="_Toc21093"/>
      <w:r>
        <w:rPr>
          <w:rFonts w:hint="eastAsia" w:ascii="仿宋" w:hAnsi="仿宋" w:eastAsia="仿宋" w:cs="仿宋"/>
          <w:b w:val="0"/>
          <w:bCs w:val="0"/>
          <w:color w:val="auto"/>
          <w:sz w:val="32"/>
          <w:szCs w:val="32"/>
          <w:lang w:val="en-US" w:eastAsia="zh-CN"/>
        </w:rPr>
        <w:t>4.</w:t>
      </w:r>
      <w:r>
        <w:rPr>
          <w:rFonts w:hint="eastAsia" w:ascii="仿宋" w:hAnsi="仿宋" w:eastAsia="仿宋" w:cs="仿宋"/>
          <w:b w:val="0"/>
          <w:bCs w:val="0"/>
          <w:color w:val="auto"/>
          <w:sz w:val="32"/>
          <w:szCs w:val="32"/>
          <w:lang w:eastAsia="zh-CN"/>
        </w:rPr>
        <w:t>成交候选人</w:t>
      </w:r>
      <w:r>
        <w:rPr>
          <w:rFonts w:hint="eastAsia" w:ascii="仿宋" w:hAnsi="仿宋" w:eastAsia="仿宋" w:cs="仿宋"/>
          <w:b w:val="0"/>
          <w:bCs w:val="0"/>
          <w:color w:val="auto"/>
          <w:sz w:val="32"/>
          <w:szCs w:val="32"/>
        </w:rPr>
        <w:t>公示</w:t>
      </w:r>
      <w:bookmarkEnd w:id="5"/>
      <w:bookmarkEnd w:id="6"/>
      <w:bookmarkEnd w:id="7"/>
      <w:bookmarkEnd w:id="8"/>
    </w:p>
    <w:p w14:paraId="0CB72A0D">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62669D68">
      <w:pPr>
        <w:pStyle w:val="4"/>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firstLine="640" w:firstLineChars="200"/>
        <w:jc w:val="both"/>
        <w:textAlignment w:val="auto"/>
        <w:rPr>
          <w:rFonts w:hint="eastAsia" w:ascii="仿宋" w:hAnsi="仿宋" w:eastAsia="仿宋" w:cs="仿宋"/>
          <w:b w:val="0"/>
          <w:bCs w:val="0"/>
          <w:color w:val="auto"/>
          <w:sz w:val="32"/>
          <w:szCs w:val="32"/>
          <w:lang w:val="en-US"/>
        </w:rPr>
      </w:pPr>
      <w:r>
        <w:rPr>
          <w:rFonts w:hint="eastAsia" w:ascii="仿宋" w:hAnsi="仿宋" w:eastAsia="仿宋" w:cs="仿宋"/>
          <w:b w:val="0"/>
          <w:bCs w:val="0"/>
          <w:color w:val="auto"/>
          <w:sz w:val="32"/>
          <w:szCs w:val="32"/>
          <w:lang w:val="en-US" w:eastAsia="zh-CN"/>
        </w:rPr>
        <w:t>5.确定成交人</w:t>
      </w:r>
    </w:p>
    <w:p w14:paraId="354B766F">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7F97303">
      <w:pPr>
        <w:pStyle w:val="4"/>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firstLine="640" w:firstLineChars="200"/>
        <w:jc w:val="both"/>
        <w:textAlignment w:val="auto"/>
        <w:rPr>
          <w:rFonts w:hint="eastAsia" w:ascii="仿宋" w:hAnsi="仿宋" w:eastAsia="仿宋" w:cs="仿宋"/>
          <w:b w:val="0"/>
          <w:bCs w:val="0"/>
          <w:color w:val="auto"/>
          <w:sz w:val="32"/>
          <w:szCs w:val="32"/>
        </w:rPr>
      </w:pPr>
      <w:bookmarkStart w:id="9" w:name="_Toc6928"/>
      <w:bookmarkStart w:id="10" w:name="_Toc31681"/>
      <w:bookmarkStart w:id="11" w:name="_Toc33795812"/>
      <w:bookmarkStart w:id="12" w:name="_Toc10813"/>
      <w:r>
        <w:rPr>
          <w:rFonts w:hint="eastAsia" w:ascii="仿宋" w:hAnsi="仿宋" w:eastAsia="仿宋" w:cs="仿宋"/>
          <w:b w:val="0"/>
          <w:bCs w:val="0"/>
          <w:color w:val="auto"/>
          <w:sz w:val="32"/>
          <w:szCs w:val="32"/>
          <w:lang w:val="en-US" w:eastAsia="zh-CN"/>
        </w:rPr>
        <w:t>6.</w:t>
      </w:r>
      <w:r>
        <w:rPr>
          <w:rFonts w:hint="eastAsia" w:ascii="仿宋" w:hAnsi="仿宋" w:eastAsia="仿宋" w:cs="仿宋"/>
          <w:b w:val="0"/>
          <w:bCs w:val="0"/>
          <w:color w:val="auto"/>
          <w:sz w:val="32"/>
          <w:szCs w:val="32"/>
          <w:lang w:eastAsia="zh-CN"/>
        </w:rPr>
        <w:t>成交</w:t>
      </w:r>
      <w:r>
        <w:rPr>
          <w:rFonts w:hint="eastAsia" w:ascii="仿宋" w:hAnsi="仿宋" w:eastAsia="仿宋" w:cs="仿宋"/>
          <w:b w:val="0"/>
          <w:bCs w:val="0"/>
          <w:color w:val="auto"/>
          <w:sz w:val="32"/>
          <w:szCs w:val="32"/>
        </w:rPr>
        <w:t>通知</w:t>
      </w:r>
      <w:bookmarkEnd w:id="9"/>
      <w:bookmarkEnd w:id="10"/>
      <w:bookmarkEnd w:id="11"/>
      <w:bookmarkEnd w:id="12"/>
    </w:p>
    <w:p w14:paraId="7DE0793D">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3" w:name="_Toc300834983"/>
      <w:bookmarkStart w:id="14" w:name="_Toc384308244"/>
      <w:bookmarkStart w:id="15" w:name="_Toc5668"/>
      <w:bookmarkStart w:id="16" w:name="_Toc352691506"/>
      <w:bookmarkStart w:id="17" w:name="_Toc369531550"/>
      <w:bookmarkStart w:id="18" w:name="_Toc361508619"/>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通知书，同时将</w:t>
      </w:r>
      <w:bookmarkEnd w:id="13"/>
      <w:bookmarkEnd w:id="14"/>
      <w:bookmarkEnd w:id="15"/>
      <w:bookmarkEnd w:id="16"/>
      <w:bookmarkEnd w:id="17"/>
      <w:bookmarkEnd w:id="18"/>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结果通知未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bookmarkStart w:id="19" w:name="_Toc4342"/>
      <w:bookmarkStart w:id="20" w:name="_Toc30705"/>
      <w:bookmarkStart w:id="21" w:name="_Toc21613"/>
      <w:bookmarkStart w:id="22" w:name="_Toc33795813"/>
    </w:p>
    <w:p w14:paraId="096E1E5B">
      <w:pPr>
        <w:pStyle w:val="4"/>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firstLine="640" w:firstLineChars="200"/>
        <w:jc w:val="both"/>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7.</w:t>
      </w:r>
      <w:r>
        <w:rPr>
          <w:rFonts w:hint="eastAsia" w:ascii="仿宋" w:hAnsi="仿宋" w:eastAsia="仿宋" w:cs="仿宋"/>
          <w:b w:val="0"/>
          <w:bCs w:val="0"/>
          <w:color w:val="auto"/>
          <w:sz w:val="32"/>
          <w:szCs w:val="32"/>
        </w:rPr>
        <w:t>履约担保</w:t>
      </w:r>
      <w:bookmarkEnd w:id="19"/>
      <w:bookmarkEnd w:id="20"/>
      <w:bookmarkEnd w:id="21"/>
      <w:bookmarkEnd w:id="22"/>
    </w:p>
    <w:p w14:paraId="1B1DDB7B">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在收到成交通知后5日内按合同金额的10%</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001B36E9">
      <w:pPr>
        <w:keepNext w:val="0"/>
        <w:keepLines w:val="0"/>
        <w:pageBreakBefore w:val="0"/>
        <w:widowControl w:val="0"/>
        <w:kinsoku/>
        <w:wordWrap/>
        <w:overflowPunct w:val="0"/>
        <w:topLinePunct w:val="0"/>
        <w:autoSpaceDE w:val="0"/>
        <w:autoSpaceDN w:val="0"/>
        <w:bidi w:val="0"/>
        <w:adjustRightInd/>
        <w:snapToGrid/>
        <w:spacing w:line="560" w:lineRule="exact"/>
        <w:ind w:lef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六、合同授予</w:t>
      </w:r>
    </w:p>
    <w:p w14:paraId="6889AD84">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23" w:name="_Toc369531553"/>
      <w:bookmarkStart w:id="24" w:name="_Toc247513988"/>
      <w:bookmarkStart w:id="25" w:name="_Toc352691509"/>
      <w:bookmarkStart w:id="26" w:name="_Toc4656"/>
      <w:bookmarkStart w:id="27" w:name="_Toc247527589"/>
      <w:bookmarkStart w:id="28" w:name="_Toc300834986"/>
      <w:bookmarkStart w:id="29" w:name="_Toc152045564"/>
      <w:bookmarkStart w:id="30" w:name="_Toc384308247"/>
      <w:bookmarkStart w:id="31" w:name="_Toc144974532"/>
      <w:bookmarkStart w:id="32" w:name="_Toc152042340"/>
      <w:bookmarkStart w:id="33" w:name="_Toc361508622"/>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23"/>
      <w:bookmarkEnd w:id="24"/>
      <w:bookmarkEnd w:id="25"/>
      <w:bookmarkEnd w:id="26"/>
      <w:bookmarkEnd w:id="27"/>
      <w:bookmarkEnd w:id="28"/>
      <w:bookmarkEnd w:id="29"/>
      <w:bookmarkEnd w:id="30"/>
      <w:bookmarkEnd w:id="31"/>
      <w:bookmarkEnd w:id="32"/>
      <w:bookmarkEnd w:id="33"/>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34" w:name="_Toc152045565"/>
      <w:bookmarkStart w:id="35" w:name="_Toc152042341"/>
      <w:bookmarkStart w:id="36" w:name="_Toc369531554"/>
      <w:bookmarkStart w:id="37" w:name="_Toc361508623"/>
      <w:bookmarkStart w:id="38" w:name="_Toc144974533"/>
      <w:bookmarkStart w:id="39" w:name="_Toc247527590"/>
      <w:bookmarkStart w:id="40" w:name="_Toc247513989"/>
      <w:bookmarkStart w:id="41" w:name="_Toc300834987"/>
      <w:bookmarkStart w:id="42" w:name="_Toc18247"/>
      <w:bookmarkStart w:id="43" w:name="_Toc352691510"/>
      <w:bookmarkStart w:id="44" w:name="_Toc384308248"/>
      <w:r>
        <w:rPr>
          <w:rFonts w:hint="eastAsia" w:ascii="仿宋" w:hAnsi="仿宋" w:eastAsia="仿宋" w:cs="仿宋"/>
          <w:color w:val="auto"/>
          <w:sz w:val="32"/>
          <w:szCs w:val="32"/>
        </w:rPr>
        <w:t>当理由拒签合</w:t>
      </w:r>
      <w:bookmarkEnd w:id="34"/>
      <w:bookmarkEnd w:id="35"/>
      <w:bookmarkEnd w:id="36"/>
      <w:bookmarkEnd w:id="37"/>
      <w:bookmarkEnd w:id="38"/>
      <w:bookmarkEnd w:id="39"/>
      <w:bookmarkEnd w:id="40"/>
      <w:bookmarkEnd w:id="41"/>
      <w:bookmarkEnd w:id="42"/>
      <w:bookmarkEnd w:id="43"/>
      <w:bookmarkEnd w:id="44"/>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16B83DC9">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45" w:name="_Toc24067"/>
      <w:bookmarkStart w:id="46" w:name="_Toc384308252"/>
      <w:bookmarkStart w:id="47" w:name="_Toc361508627"/>
      <w:bookmarkStart w:id="48" w:name="_Toc300834991"/>
      <w:bookmarkStart w:id="49" w:name="_Toc144974536"/>
      <w:bookmarkStart w:id="50" w:name="_Toc247513992"/>
      <w:bookmarkStart w:id="51" w:name="_Toc247527593"/>
      <w:bookmarkStart w:id="52" w:name="_Toc152042344"/>
      <w:bookmarkStart w:id="53" w:name="_Toc152045568"/>
    </w:p>
    <w:bookmarkEnd w:id="45"/>
    <w:bookmarkEnd w:id="46"/>
    <w:bookmarkEnd w:id="47"/>
    <w:p w14:paraId="1B9CCFDD">
      <w:pPr>
        <w:pStyle w:val="3"/>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firstLine="643" w:firstLineChars="200"/>
        <w:jc w:val="both"/>
        <w:textAlignment w:val="auto"/>
        <w:rPr>
          <w:rFonts w:hint="eastAsia" w:ascii="仿宋" w:hAnsi="仿宋" w:eastAsia="仿宋" w:cs="仿宋"/>
          <w:color w:val="auto"/>
          <w:sz w:val="32"/>
          <w:szCs w:val="32"/>
        </w:rPr>
      </w:pPr>
      <w:bookmarkStart w:id="54" w:name="_Toc25347"/>
      <w:bookmarkStart w:id="55" w:name="_Toc33795815"/>
      <w:bookmarkStart w:id="56"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54"/>
      <w:bookmarkEnd w:id="55"/>
      <w:bookmarkEnd w:id="56"/>
    </w:p>
    <w:p w14:paraId="66831A1A">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69ADA9DC">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57" w:name="_Toc361508628"/>
      <w:bookmarkStart w:id="58" w:name="_Toc352691515"/>
      <w:bookmarkStart w:id="59" w:name="_Toc13644"/>
      <w:bookmarkStart w:id="60" w:name="_Toc369531559"/>
      <w:bookmarkStart w:id="61" w:name="_Toc384308253"/>
      <w:r>
        <w:rPr>
          <w:rFonts w:hint="eastAsia" w:ascii="仿宋" w:hAnsi="仿宋" w:eastAsia="仿宋" w:cs="仿宋"/>
          <w:color w:val="auto"/>
          <w:sz w:val="32"/>
          <w:szCs w:val="32"/>
        </w:rPr>
        <w:t>和比较、</w:t>
      </w:r>
      <w:bookmarkEnd w:id="48"/>
      <w:bookmarkEnd w:id="49"/>
      <w:bookmarkEnd w:id="50"/>
      <w:bookmarkEnd w:id="51"/>
      <w:bookmarkEnd w:id="52"/>
      <w:bookmarkEnd w:id="53"/>
      <w:bookmarkEnd w:id="57"/>
      <w:bookmarkEnd w:id="58"/>
      <w:bookmarkEnd w:id="59"/>
      <w:bookmarkEnd w:id="60"/>
      <w:bookmarkEnd w:id="61"/>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4141F8BA">
      <w:pPr>
        <w:pStyle w:val="4"/>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left="0" w:firstLine="643" w:firstLineChars="200"/>
        <w:jc w:val="both"/>
        <w:textAlignment w:val="auto"/>
        <w:rPr>
          <w:rFonts w:hint="eastAsia" w:ascii="仿宋" w:hAnsi="仿宋" w:eastAsia="仿宋" w:cs="仿宋"/>
          <w:color w:val="auto"/>
          <w:sz w:val="32"/>
          <w:szCs w:val="32"/>
        </w:rPr>
      </w:pPr>
      <w:bookmarkStart w:id="62" w:name="_Toc18070"/>
      <w:bookmarkStart w:id="63" w:name="_Toc22294"/>
      <w:bookmarkStart w:id="64" w:name="_Toc33795820"/>
      <w:bookmarkStart w:id="65" w:name="_Toc24957"/>
      <w:r>
        <w:rPr>
          <w:rFonts w:hint="eastAsia" w:ascii="仿宋" w:hAnsi="仿宋" w:eastAsia="仿宋" w:cs="仿宋"/>
          <w:color w:val="auto"/>
          <w:sz w:val="32"/>
          <w:szCs w:val="32"/>
          <w:lang w:val="en-US" w:eastAsia="zh-CN"/>
        </w:rPr>
        <w:t>（三）异议</w:t>
      </w:r>
      <w:bookmarkEnd w:id="62"/>
      <w:bookmarkEnd w:id="63"/>
      <w:bookmarkEnd w:id="64"/>
      <w:bookmarkEnd w:id="65"/>
    </w:p>
    <w:p w14:paraId="27ADC861">
      <w:pPr>
        <w:keepNext w:val="0"/>
        <w:keepLines w:val="0"/>
        <w:pageBreakBefore w:val="0"/>
        <w:widowControl w:val="0"/>
        <w:suppressLineNumbers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1.供应商或者其他利害关系人认为采购人采购活动存在不合法或违反民事活动中平等自愿、公平诚信原则情形的，可以直接向采购人单位招标办公室提出提出异议。</w:t>
      </w:r>
    </w:p>
    <w:p w14:paraId="63415A19">
      <w:pPr>
        <w:keepNext w:val="0"/>
        <w:keepLines w:val="0"/>
        <w:pageBreakBefore w:val="0"/>
        <w:widowControl w:val="0"/>
        <w:suppressLineNumbers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1023828F">
      <w:pPr>
        <w:keepNext w:val="0"/>
        <w:keepLines w:val="0"/>
        <w:pageBreakBefore w:val="0"/>
        <w:widowControl w:val="0"/>
        <w:suppressLineNumbers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3.对响应采购供应商提出的异议，如属异议提出人对相关问题理解有误的，招标办应当详细做出解释；如经核查发现采购活动确实存在违法或违反本办法相关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的，招标办应及时予以改正或补救。 </w:t>
      </w:r>
    </w:p>
    <w:p w14:paraId="6BE9B242">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textAlignment w:val="auto"/>
        <w:rPr>
          <w:rFonts w:hint="eastAsia" w:ascii="仿宋_GB2312" w:eastAsia="仿宋_GB2312"/>
          <w:b w:val="0"/>
          <w:bCs w:val="0"/>
          <w:sz w:val="32"/>
          <w:szCs w:val="32"/>
          <w:lang w:val="en-US" w:eastAsia="zh-CN"/>
        </w:rPr>
      </w:pPr>
    </w:p>
    <w:p w14:paraId="55563DFD">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firstLine="4480" w:firstLineChars="1400"/>
        <w:textAlignment w:val="auto"/>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陕西锌业有限公司</w:t>
      </w:r>
    </w:p>
    <w:p w14:paraId="58A7A0EE">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default"/>
          <w:lang w:val="en-US" w:eastAsia="zh-CN"/>
        </w:rPr>
      </w:pPr>
      <w:r>
        <w:rPr>
          <w:rFonts w:hint="eastAsia" w:ascii="仿宋_GB2312" w:eastAsia="仿宋_GB2312"/>
          <w:sz w:val="32"/>
          <w:szCs w:val="32"/>
          <w:lang w:val="en-US" w:eastAsia="zh-CN"/>
        </w:rPr>
        <w:t>2025年6月27日</w:t>
      </w:r>
    </w:p>
    <w:p w14:paraId="2C352D5C">
      <w:pPr>
        <w:spacing w:line="360" w:lineRule="auto"/>
        <w:rPr>
          <w:rFonts w:hint="eastAsia" w:ascii="华文仿宋" w:hAnsi="华文仿宋" w:eastAsia="华文仿宋"/>
          <w:sz w:val="24"/>
        </w:rPr>
      </w:pPr>
      <w:bookmarkStart w:id="66" w:name="_GoBack"/>
      <w:bookmarkEnd w:id="6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仿宋">
    <w:panose1 w:val="02010600040101010101"/>
    <w:charset w:val="86"/>
    <w:family w:val="auto"/>
    <w:pitch w:val="default"/>
    <w:sig w:usb0="00000287" w:usb1="080F0000" w:usb2="00000000" w:usb3="00000000" w:csb0="0004009F" w:csb1="DFD70000"/>
    <w:embedRegular r:id="rId1" w:fontKey="{34D19383-4E61-4FFF-A9EE-92FB45A9E627}"/>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5BFE70E9-4B0D-46AF-8F08-91AAA2B09255}"/>
  </w:font>
  <w:font w:name="等线">
    <w:panose1 w:val="02010600030101010101"/>
    <w:charset w:val="86"/>
    <w:family w:val="auto"/>
    <w:pitch w:val="default"/>
    <w:sig w:usb0="A00002BF" w:usb1="38CF7CFA" w:usb2="00000016" w:usb3="00000000" w:csb0="0004000F" w:csb1="00000000"/>
    <w:embedRegular r:id="rId3" w:fontKey="{BE735E19-E31B-473A-82E0-943C69249E84}"/>
  </w:font>
  <w:font w:name="方正小标宋简体">
    <w:panose1 w:val="02000000000000000000"/>
    <w:charset w:val="86"/>
    <w:family w:val="auto"/>
    <w:pitch w:val="default"/>
    <w:sig w:usb0="00000001" w:usb1="08000000" w:usb2="00000000" w:usb3="00000000" w:csb0="00040000" w:csb1="00000000"/>
    <w:embedRegular r:id="rId4" w:fontKey="{6A9A38C7-B64E-4BB6-B11F-0846C7E2FDA3}"/>
  </w:font>
  <w:font w:name="仿宋_GB2312">
    <w:altName w:val="仿宋"/>
    <w:panose1 w:val="02010609030101010101"/>
    <w:charset w:val="86"/>
    <w:family w:val="modern"/>
    <w:pitch w:val="default"/>
    <w:sig w:usb0="00000000" w:usb1="00000000" w:usb2="00000010" w:usb3="00000000" w:csb0="00040000" w:csb1="00000000"/>
    <w:embedRegular r:id="rId5" w:fontKey="{785FC09E-EFFD-4212-AA4B-A61197E14F2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31749F"/>
    <w:multiLevelType w:val="multilevel"/>
    <w:tmpl w:val="0431749F"/>
    <w:lvl w:ilvl="0" w:tentative="0">
      <w:start w:val="1"/>
      <w:numFmt w:val="bullet"/>
      <w:pStyle w:val="43"/>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
    <w:nsid w:val="0A202B96"/>
    <w:multiLevelType w:val="multilevel"/>
    <w:tmpl w:val="0A202B96"/>
    <w:lvl w:ilvl="0" w:tentative="0">
      <w:start w:val="1"/>
      <w:numFmt w:val="chineseCountingThousand"/>
      <w:pStyle w:val="3"/>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38401C3D"/>
    <w:multiLevelType w:val="multilevel"/>
    <w:tmpl w:val="38401C3D"/>
    <w:lvl w:ilvl="0" w:tentative="0">
      <w:start w:val="1"/>
      <w:numFmt w:val="chineseCountingThousand"/>
      <w:lvlText w:val="%1."/>
      <w:lvlJc w:val="left"/>
      <w:pPr>
        <w:ind w:left="454" w:hanging="454"/>
      </w:pPr>
      <w:rPr>
        <w:rFonts w:hint="eastAsia" w:eastAsia="宋体"/>
      </w:rPr>
    </w:lvl>
    <w:lvl w:ilvl="1" w:tentative="0">
      <w:start w:val="1"/>
      <w:numFmt w:val="decimal"/>
      <w:isLgl/>
      <w:lvlText w:val="%1.%2"/>
      <w:lvlJc w:val="left"/>
      <w:pPr>
        <w:ind w:left="851" w:hanging="738"/>
      </w:pPr>
      <w:rPr>
        <w:rFonts w:hint="eastAsia" w:eastAsia="宋体"/>
      </w:rPr>
    </w:lvl>
    <w:lvl w:ilvl="2" w:tentative="0">
      <w:start w:val="1"/>
      <w:numFmt w:val="decimal"/>
      <w:isLgl/>
      <w:lvlText w:val="%1.%2.%3"/>
      <w:lvlJc w:val="left"/>
      <w:pPr>
        <w:ind w:left="964" w:hanging="851"/>
      </w:pPr>
    </w:lvl>
    <w:lvl w:ilvl="3" w:tentative="0">
      <w:start w:val="1"/>
      <w:numFmt w:val="decimal"/>
      <w:isLgl/>
      <w:lvlText w:val="%1.%2.%3.%4"/>
      <w:lvlJc w:val="left"/>
      <w:pPr>
        <w:ind w:left="1021" w:hanging="1021"/>
      </w:pPr>
    </w:lvl>
    <w:lvl w:ilvl="4" w:tentative="0">
      <w:start w:val="1"/>
      <w:numFmt w:val="decimal"/>
      <w:isLgl/>
      <w:lvlText w:val="%1.%2.%3.%4.%5"/>
      <w:lvlJc w:val="left"/>
      <w:pPr>
        <w:ind w:left="1134" w:hanging="1021"/>
      </w:pPr>
      <w:rPr>
        <w:rFonts w:hint="eastAsia" w:eastAsia="宋体"/>
      </w:rPr>
    </w:lvl>
    <w:lvl w:ilvl="5" w:tentative="0">
      <w:start w:val="1"/>
      <w:numFmt w:val="decimal"/>
      <w:pStyle w:val="7"/>
      <w:suff w:val="space"/>
      <w:lvlText w:val="（%6）"/>
      <w:lvlJc w:val="left"/>
      <w:pPr>
        <w:ind w:left="1134" w:hanging="907"/>
      </w:pPr>
      <w:rPr>
        <w:rFonts w:hint="eastAsia" w:eastAsia="宋体"/>
        <w:b/>
        <w:bCs w:val="0"/>
      </w:rPr>
    </w:lvl>
    <w:lvl w:ilvl="6" w:tentative="0">
      <w:start w:val="1"/>
      <w:numFmt w:val="decimal"/>
      <w:pStyle w:val="8"/>
      <w:lvlText w:val="%7）"/>
      <w:lvlJc w:val="left"/>
      <w:pPr>
        <w:ind w:left="1134" w:hanging="567"/>
      </w:pPr>
      <w:rPr>
        <w:rFonts w:hint="eastAsia" w:eastAsia="宋体"/>
      </w:rPr>
    </w:lvl>
    <w:lvl w:ilvl="7" w:tentative="0">
      <w:start w:val="1"/>
      <w:numFmt w:val="lowerLetter"/>
      <w:lvlText w:val="%8）"/>
      <w:lvlJc w:val="left"/>
      <w:pPr>
        <w:ind w:left="1134" w:hanging="680"/>
      </w:pPr>
      <w:rPr>
        <w:rFonts w:hint="eastAsia" w:eastAsia="宋体"/>
      </w:rPr>
    </w:lvl>
    <w:lvl w:ilvl="8" w:tentative="0">
      <w:start w:val="1"/>
      <w:numFmt w:val="bullet"/>
      <w:lvlText w:val=""/>
      <w:lvlJc w:val="left"/>
      <w:pPr>
        <w:ind w:left="1134" w:hanging="567"/>
      </w:pPr>
      <w:rPr>
        <w:rFonts w:hint="default" w:ascii="Symbol" w:hAnsi="Symbol"/>
        <w:color w:val="auto"/>
      </w:rPr>
    </w:lvl>
  </w:abstractNum>
  <w:abstractNum w:abstractNumId="3">
    <w:nsid w:val="5DC9244F"/>
    <w:multiLevelType w:val="multilevel"/>
    <w:tmpl w:val="5DC9244F"/>
    <w:lvl w:ilvl="0" w:tentative="0">
      <w:start w:val="1"/>
      <w:numFmt w:val="bullet"/>
      <w:pStyle w:val="33"/>
      <w:lvlText w:val=""/>
      <w:lvlJc w:val="left"/>
      <w:pPr>
        <w:ind w:left="620" w:hanging="420"/>
      </w:pPr>
      <w:rPr>
        <w:rFonts w:hint="default" w:ascii="Wingdings" w:hAnsi="Wingdings"/>
      </w:rPr>
    </w:lvl>
    <w:lvl w:ilvl="1" w:tentative="0">
      <w:start w:val="1"/>
      <w:numFmt w:val="bullet"/>
      <w:lvlText w:val=""/>
      <w:lvlJc w:val="left"/>
      <w:pPr>
        <w:ind w:left="1040" w:hanging="420"/>
      </w:pPr>
      <w:rPr>
        <w:rFonts w:hint="default" w:ascii="Wingdings" w:hAnsi="Wingdings"/>
      </w:rPr>
    </w:lvl>
    <w:lvl w:ilvl="2" w:tentative="0">
      <w:start w:val="1"/>
      <w:numFmt w:val="bullet"/>
      <w:lvlText w:val=""/>
      <w:lvlJc w:val="left"/>
      <w:pPr>
        <w:ind w:left="1460" w:hanging="420"/>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4">
    <w:nsid w:val="5EAF21E3"/>
    <w:multiLevelType w:val="multilevel"/>
    <w:tmpl w:val="5EAF21E3"/>
    <w:lvl w:ilvl="0" w:tentative="0">
      <w:start w:val="1"/>
      <w:numFmt w:val="chineseCountingThousand"/>
      <w:pStyle w:val="2"/>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00B7661B"/>
    <w:rsid w:val="00024DD0"/>
    <w:rsid w:val="000272F4"/>
    <w:rsid w:val="0004328E"/>
    <w:rsid w:val="0007598A"/>
    <w:rsid w:val="00083EA9"/>
    <w:rsid w:val="00096C35"/>
    <w:rsid w:val="000C40FD"/>
    <w:rsid w:val="000C5E59"/>
    <w:rsid w:val="000D4136"/>
    <w:rsid w:val="000E1B62"/>
    <w:rsid w:val="000E3CE1"/>
    <w:rsid w:val="000E7387"/>
    <w:rsid w:val="000F005F"/>
    <w:rsid w:val="00116E91"/>
    <w:rsid w:val="00124C7D"/>
    <w:rsid w:val="00187DB3"/>
    <w:rsid w:val="001B1888"/>
    <w:rsid w:val="001F0A4F"/>
    <w:rsid w:val="00214638"/>
    <w:rsid w:val="00233130"/>
    <w:rsid w:val="002355EC"/>
    <w:rsid w:val="00277000"/>
    <w:rsid w:val="0028568D"/>
    <w:rsid w:val="00286845"/>
    <w:rsid w:val="002870FC"/>
    <w:rsid w:val="00290744"/>
    <w:rsid w:val="002E3591"/>
    <w:rsid w:val="002E52FB"/>
    <w:rsid w:val="002F5A6E"/>
    <w:rsid w:val="002F5DCC"/>
    <w:rsid w:val="003122C3"/>
    <w:rsid w:val="00324397"/>
    <w:rsid w:val="003830DB"/>
    <w:rsid w:val="003843C5"/>
    <w:rsid w:val="00392929"/>
    <w:rsid w:val="0039589E"/>
    <w:rsid w:val="003B73C8"/>
    <w:rsid w:val="003D08C1"/>
    <w:rsid w:val="003D1E42"/>
    <w:rsid w:val="003D6E49"/>
    <w:rsid w:val="003E2645"/>
    <w:rsid w:val="00403894"/>
    <w:rsid w:val="004164B4"/>
    <w:rsid w:val="00447B87"/>
    <w:rsid w:val="004822B7"/>
    <w:rsid w:val="0048576C"/>
    <w:rsid w:val="004B5D3D"/>
    <w:rsid w:val="004C0FE6"/>
    <w:rsid w:val="004C4E77"/>
    <w:rsid w:val="004C526A"/>
    <w:rsid w:val="004D7C63"/>
    <w:rsid w:val="0052326F"/>
    <w:rsid w:val="00554E76"/>
    <w:rsid w:val="0055514D"/>
    <w:rsid w:val="00591038"/>
    <w:rsid w:val="005A6D27"/>
    <w:rsid w:val="005E0C46"/>
    <w:rsid w:val="005F13A2"/>
    <w:rsid w:val="006149E5"/>
    <w:rsid w:val="0061723A"/>
    <w:rsid w:val="0062115D"/>
    <w:rsid w:val="0062420D"/>
    <w:rsid w:val="006361C3"/>
    <w:rsid w:val="00660932"/>
    <w:rsid w:val="00665287"/>
    <w:rsid w:val="006C5DE8"/>
    <w:rsid w:val="006E745E"/>
    <w:rsid w:val="00716EBA"/>
    <w:rsid w:val="00764B06"/>
    <w:rsid w:val="00780EEB"/>
    <w:rsid w:val="007B0C7B"/>
    <w:rsid w:val="007B20F7"/>
    <w:rsid w:val="007B47D2"/>
    <w:rsid w:val="007C41C4"/>
    <w:rsid w:val="007C5906"/>
    <w:rsid w:val="007D6622"/>
    <w:rsid w:val="00816E70"/>
    <w:rsid w:val="008176FE"/>
    <w:rsid w:val="00842D31"/>
    <w:rsid w:val="00860303"/>
    <w:rsid w:val="00890A3D"/>
    <w:rsid w:val="008E35A9"/>
    <w:rsid w:val="008E6C54"/>
    <w:rsid w:val="00912880"/>
    <w:rsid w:val="009453A6"/>
    <w:rsid w:val="009517E4"/>
    <w:rsid w:val="0098365A"/>
    <w:rsid w:val="009B7762"/>
    <w:rsid w:val="009D21B5"/>
    <w:rsid w:val="009F6FD3"/>
    <w:rsid w:val="00A21EF1"/>
    <w:rsid w:val="00A23ABA"/>
    <w:rsid w:val="00A8611D"/>
    <w:rsid w:val="00A97A7A"/>
    <w:rsid w:val="00AA6F31"/>
    <w:rsid w:val="00AC64B1"/>
    <w:rsid w:val="00AE540C"/>
    <w:rsid w:val="00B01763"/>
    <w:rsid w:val="00B021EC"/>
    <w:rsid w:val="00B225C3"/>
    <w:rsid w:val="00B24C4A"/>
    <w:rsid w:val="00B316FF"/>
    <w:rsid w:val="00B5679C"/>
    <w:rsid w:val="00B7661B"/>
    <w:rsid w:val="00BB4FDF"/>
    <w:rsid w:val="00BC3C87"/>
    <w:rsid w:val="00C56C84"/>
    <w:rsid w:val="00CD66DB"/>
    <w:rsid w:val="00D006C3"/>
    <w:rsid w:val="00D02DFD"/>
    <w:rsid w:val="00D05FAA"/>
    <w:rsid w:val="00D37340"/>
    <w:rsid w:val="00D409D0"/>
    <w:rsid w:val="00D51D00"/>
    <w:rsid w:val="00D80FFA"/>
    <w:rsid w:val="00DA7F9D"/>
    <w:rsid w:val="00DD23D1"/>
    <w:rsid w:val="00DE6870"/>
    <w:rsid w:val="00DF180D"/>
    <w:rsid w:val="00DF1A2F"/>
    <w:rsid w:val="00DF3C17"/>
    <w:rsid w:val="00E73F4D"/>
    <w:rsid w:val="00E8059B"/>
    <w:rsid w:val="00E813C2"/>
    <w:rsid w:val="00E83B38"/>
    <w:rsid w:val="00EA7DB9"/>
    <w:rsid w:val="00ED5EB1"/>
    <w:rsid w:val="00EE7768"/>
    <w:rsid w:val="00F5306E"/>
    <w:rsid w:val="00F724E7"/>
    <w:rsid w:val="00F75AF0"/>
    <w:rsid w:val="00FE0C86"/>
    <w:rsid w:val="00FE5DCC"/>
    <w:rsid w:val="00FF4463"/>
    <w:rsid w:val="0CD335A8"/>
    <w:rsid w:val="15F7009A"/>
    <w:rsid w:val="16A531DB"/>
    <w:rsid w:val="258B55EA"/>
    <w:rsid w:val="25CF7518"/>
    <w:rsid w:val="2A7062BD"/>
    <w:rsid w:val="2C5319E9"/>
    <w:rsid w:val="33593557"/>
    <w:rsid w:val="33710CC0"/>
    <w:rsid w:val="3E40764B"/>
    <w:rsid w:val="4039698E"/>
    <w:rsid w:val="40513D81"/>
    <w:rsid w:val="4886474D"/>
    <w:rsid w:val="4F334479"/>
    <w:rsid w:val="594C01E5"/>
    <w:rsid w:val="5C2A09B2"/>
    <w:rsid w:val="68813AEC"/>
    <w:rsid w:val="6B3B332A"/>
    <w:rsid w:val="6D6535F8"/>
    <w:rsid w:val="708B7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nhideWhenUsed="0" w:uiPriority="9" w:semiHidden="0" w:name="heading 6"/>
    <w:lsdException w:qFormat="1" w:unhideWhenUsed="0" w:uiPriority="9" w:semiHidden="0" w:name="heading 7"/>
    <w:lsdException w:qFormat="1" w:uiPriority="9"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numPr>
        <w:ilvl w:val="0"/>
        <w:numId w:val="1"/>
      </w:numPr>
      <w:spacing w:before="340" w:after="330" w:line="576" w:lineRule="auto"/>
      <w:outlineLvl w:val="0"/>
    </w:pPr>
    <w:rPr>
      <w:rFonts w:ascii="Tahoma" w:hAnsi="Tahoma" w:eastAsia="宋体"/>
      <w:b/>
      <w:bCs/>
      <w:kern w:val="44"/>
      <w:sz w:val="44"/>
      <w:szCs w:val="44"/>
    </w:rPr>
  </w:style>
  <w:style w:type="paragraph" w:styleId="3">
    <w:name w:val="heading 2"/>
    <w:basedOn w:val="1"/>
    <w:next w:val="1"/>
    <w:unhideWhenUsed/>
    <w:qFormat/>
    <w:uiPriority w:val="9"/>
    <w:pPr>
      <w:keepNext/>
      <w:keepLines/>
      <w:numPr>
        <w:ilvl w:val="0"/>
        <w:numId w:val="2"/>
      </w:numPr>
      <w:spacing w:before="163" w:beforeLines="50" w:after="163" w:afterLines="50"/>
      <w:outlineLvl w:val="1"/>
    </w:pPr>
    <w:rPr>
      <w:rFonts w:ascii="黑体" w:hAnsi="黑体" w:eastAsia="华文仿宋" w:cstheme="majorBidi"/>
      <w:b/>
      <w:bCs/>
      <w:smallCaps/>
      <w:color w:val="000000" w:themeColor="text1"/>
      <w:sz w:val="28"/>
      <w:szCs w:val="30"/>
      <w14:textFill>
        <w14:solidFill>
          <w14:schemeClr w14:val="tx1"/>
        </w14:solidFill>
      </w14:textFill>
    </w:rPr>
  </w:style>
  <w:style w:type="paragraph" w:styleId="4">
    <w:name w:val="heading 3"/>
    <w:basedOn w:val="1"/>
    <w:next w:val="1"/>
    <w:link w:val="27"/>
    <w:unhideWhenUsed/>
    <w:qFormat/>
    <w:uiPriority w:val="9"/>
    <w:pPr>
      <w:keepNext/>
      <w:keepLines/>
      <w:tabs>
        <w:tab w:val="left" w:pos="454"/>
      </w:tabs>
      <w:spacing w:before="260" w:after="260" w:line="360" w:lineRule="auto"/>
      <w:ind w:left="454"/>
      <w:outlineLvl w:val="2"/>
    </w:pPr>
    <w:rPr>
      <w:rFonts w:eastAsia="宋体"/>
      <w:b/>
      <w:bCs/>
      <w:sz w:val="32"/>
      <w:szCs w:val="32"/>
    </w:rPr>
  </w:style>
  <w:style w:type="paragraph" w:styleId="5">
    <w:name w:val="heading 4"/>
    <w:basedOn w:val="1"/>
    <w:next w:val="1"/>
    <w:link w:val="28"/>
    <w:unhideWhenUsed/>
    <w:qFormat/>
    <w:uiPriority w:val="9"/>
    <w:pPr>
      <w:keepNext/>
      <w:keepLines/>
      <w:tabs>
        <w:tab w:val="left" w:pos="454"/>
      </w:tabs>
      <w:spacing w:before="280" w:after="290" w:line="360" w:lineRule="auto"/>
      <w:ind w:left="454"/>
      <w:outlineLvl w:val="3"/>
    </w:pPr>
    <w:rPr>
      <w:rFonts w:eastAsia="宋体" w:asciiTheme="majorHAnsi" w:hAnsiTheme="majorHAnsi" w:cstheme="majorBidi"/>
      <w:b/>
      <w:bCs/>
      <w:sz w:val="28"/>
      <w:szCs w:val="28"/>
    </w:rPr>
  </w:style>
  <w:style w:type="paragraph" w:styleId="6">
    <w:name w:val="heading 5"/>
    <w:basedOn w:val="1"/>
    <w:next w:val="1"/>
    <w:link w:val="29"/>
    <w:unhideWhenUsed/>
    <w:qFormat/>
    <w:uiPriority w:val="9"/>
    <w:pPr>
      <w:keepNext/>
      <w:keepLines/>
      <w:tabs>
        <w:tab w:val="left" w:pos="454"/>
      </w:tabs>
      <w:spacing w:before="280" w:after="290" w:line="360" w:lineRule="auto"/>
      <w:ind w:left="454"/>
      <w:outlineLvl w:val="4"/>
    </w:pPr>
    <w:rPr>
      <w:rFonts w:eastAsia="宋体"/>
      <w:b/>
      <w:bCs/>
      <w:sz w:val="28"/>
      <w:szCs w:val="28"/>
    </w:rPr>
  </w:style>
  <w:style w:type="paragraph" w:styleId="7">
    <w:name w:val="heading 6"/>
    <w:basedOn w:val="1"/>
    <w:next w:val="1"/>
    <w:qFormat/>
    <w:uiPriority w:val="9"/>
    <w:pPr>
      <w:keepNext/>
      <w:keepLines/>
      <w:numPr>
        <w:ilvl w:val="5"/>
        <w:numId w:val="3"/>
      </w:numPr>
      <w:spacing w:before="240" w:after="64"/>
      <w:outlineLvl w:val="5"/>
    </w:pPr>
    <w:rPr>
      <w:rFonts w:cstheme="majorBidi"/>
      <w:b/>
      <w:bCs/>
    </w:rPr>
  </w:style>
  <w:style w:type="paragraph" w:styleId="8">
    <w:name w:val="heading 7"/>
    <w:basedOn w:val="1"/>
    <w:next w:val="1"/>
    <w:qFormat/>
    <w:uiPriority w:val="9"/>
    <w:pPr>
      <w:keepNext/>
      <w:keepLines/>
      <w:numPr>
        <w:ilvl w:val="6"/>
        <w:numId w:val="3"/>
      </w:numPr>
      <w:spacing w:before="240" w:after="64" w:line="320" w:lineRule="auto"/>
      <w:outlineLvl w:val="6"/>
    </w:pPr>
    <w:rPr>
      <w:b/>
      <w:bCs/>
    </w:rPr>
  </w:style>
  <w:style w:type="paragraph" w:styleId="9">
    <w:name w:val="heading 8"/>
    <w:basedOn w:val="1"/>
    <w:next w:val="1"/>
    <w:link w:val="30"/>
    <w:unhideWhenUsed/>
    <w:qFormat/>
    <w:uiPriority w:val="9"/>
    <w:pPr>
      <w:keepNext/>
      <w:keepLines/>
      <w:spacing w:before="240" w:after="64" w:line="320" w:lineRule="auto"/>
      <w:ind w:left="425"/>
      <w:jc w:val="left"/>
      <w:outlineLvl w:val="7"/>
    </w:pPr>
    <w:rPr>
      <w:rFonts w:ascii="宋体" w:hAnsi="宋体" w:eastAsia="宋体" w:cstheme="majorBidi"/>
      <w:sz w:val="24"/>
      <w:szCs w:val="21"/>
    </w:rPr>
  </w:style>
  <w:style w:type="character" w:default="1" w:styleId="19">
    <w:name w:val="Default Paragraph Font"/>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0">
    <w:name w:val="Normal Indent"/>
    <w:basedOn w:val="1"/>
    <w:link w:val="32"/>
    <w:qFormat/>
    <w:uiPriority w:val="0"/>
    <w:pPr>
      <w:ind w:firstLine="420"/>
    </w:pPr>
    <w:rPr>
      <w:rFonts w:cs="Times New Roman"/>
    </w:rPr>
  </w:style>
  <w:style w:type="paragraph" w:styleId="11">
    <w:name w:val="annotation text"/>
    <w:basedOn w:val="1"/>
    <w:link w:val="39"/>
    <w:qFormat/>
    <w:uiPriority w:val="0"/>
    <w:pPr>
      <w:jc w:val="left"/>
    </w:pPr>
  </w:style>
  <w:style w:type="paragraph" w:styleId="12">
    <w:name w:val="Body Text"/>
    <w:basedOn w:val="1"/>
    <w:link w:val="31"/>
    <w:unhideWhenUsed/>
    <w:qFormat/>
    <w:uiPriority w:val="1"/>
    <w:pPr>
      <w:spacing w:after="120" w:line="360" w:lineRule="auto"/>
    </w:pPr>
    <w:rPr>
      <w:rFonts w:eastAsia="宋体"/>
      <w:sz w:val="24"/>
      <w:szCs w:val="22"/>
    </w:rPr>
  </w:style>
  <w:style w:type="paragraph" w:styleId="13">
    <w:name w:val="footer"/>
    <w:basedOn w:val="1"/>
    <w:qFormat/>
    <w:uiPriority w:val="99"/>
    <w:pPr>
      <w:tabs>
        <w:tab w:val="center" w:pos="4153"/>
        <w:tab w:val="right" w:pos="8306"/>
      </w:tabs>
      <w:snapToGrid w:val="0"/>
      <w:jc w:val="left"/>
    </w:pPr>
    <w:rPr>
      <w:rFonts w:ascii="Tahoma" w:hAnsi="Tahoma" w:eastAsia="宋体"/>
      <w:sz w:val="18"/>
      <w:szCs w:val="18"/>
    </w:rPr>
  </w:style>
  <w:style w:type="paragraph" w:styleId="14">
    <w:name w:val="header"/>
    <w:basedOn w:val="1"/>
    <w:link w:val="26"/>
    <w:qFormat/>
    <w:uiPriority w:val="0"/>
    <w:pPr>
      <w:tabs>
        <w:tab w:val="center" w:pos="4153"/>
        <w:tab w:val="right" w:pos="8306"/>
      </w:tabs>
      <w:snapToGrid w:val="0"/>
      <w:jc w:val="center"/>
    </w:pPr>
    <w:rPr>
      <w:sz w:val="18"/>
      <w:szCs w:val="18"/>
    </w:rPr>
  </w:style>
  <w:style w:type="paragraph" w:styleId="15">
    <w:name w:val="Normal (Web)"/>
    <w:basedOn w:val="1"/>
    <w:qFormat/>
    <w:uiPriority w:val="99"/>
    <w:rPr>
      <w:rFonts w:cs="Times New Roman"/>
    </w:rPr>
  </w:style>
  <w:style w:type="paragraph" w:styleId="16">
    <w:name w:val="annotation subject"/>
    <w:basedOn w:val="11"/>
    <w:next w:val="11"/>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basedOn w:val="19"/>
    <w:qFormat/>
    <w:uiPriority w:val="0"/>
    <w:rPr>
      <w:color w:val="0563C1" w:themeColor="hyperlink"/>
      <w:u w:val="single"/>
      <w14:textFill>
        <w14:solidFill>
          <w14:schemeClr w14:val="hlink"/>
        </w14:solidFill>
      </w14:textFill>
    </w:rPr>
  </w:style>
  <w:style w:type="character" w:styleId="21">
    <w:name w:val="annotation reference"/>
    <w:basedOn w:val="19"/>
    <w:qFormat/>
    <w:uiPriority w:val="0"/>
    <w:rPr>
      <w:sz w:val="21"/>
      <w:szCs w:val="21"/>
    </w:rPr>
  </w:style>
  <w:style w:type="paragraph" w:customStyle="1" w:styleId="22">
    <w:name w:val="段"/>
    <w:next w:val="1"/>
    <w:qFormat/>
    <w:uiPriority w:val="99"/>
    <w:pPr>
      <w:autoSpaceDE w:val="0"/>
      <w:autoSpaceDN w:val="0"/>
      <w:spacing w:line="360" w:lineRule="auto"/>
      <w:ind w:firstLine="420" w:firstLineChars="200"/>
      <w:jc w:val="both"/>
    </w:pPr>
    <w:rPr>
      <w:rFonts w:ascii="宋体" w:hAnsi="宋体" w:eastAsia="仿宋" w:cs="Times New Roman"/>
      <w:sz w:val="28"/>
      <w:lang w:val="en-US" w:eastAsia="zh-CN" w:bidi="ar-SA"/>
    </w:rPr>
  </w:style>
  <w:style w:type="paragraph" w:customStyle="1" w:styleId="23">
    <w:name w:val="09正文_wh"/>
    <w:qFormat/>
    <w:uiPriority w:val="0"/>
    <w:pPr>
      <w:spacing w:line="300" w:lineRule="auto"/>
      <w:ind w:firstLine="200" w:firstLineChars="200"/>
      <w:jc w:val="both"/>
    </w:pPr>
    <w:rPr>
      <w:rFonts w:ascii="等线" w:hAnsi="等线" w:eastAsia="等线" w:cs="等线"/>
      <w:sz w:val="28"/>
      <w:szCs w:val="22"/>
      <w:lang w:val="en-US" w:eastAsia="zh-CN" w:bidi="ar-SA"/>
    </w:rPr>
  </w:style>
  <w:style w:type="paragraph" w:customStyle="1" w:styleId="24">
    <w:name w:val="标准正文"/>
    <w:basedOn w:val="1"/>
    <w:qFormat/>
    <w:uiPriority w:val="0"/>
    <w:pPr>
      <w:ind w:firstLine="480" w:firstLineChars="200"/>
    </w:pPr>
  </w:style>
  <w:style w:type="paragraph" w:customStyle="1" w:styleId="25">
    <w:name w:val="列表段落1"/>
    <w:basedOn w:val="1"/>
    <w:qFormat/>
    <w:uiPriority w:val="34"/>
    <w:pPr>
      <w:ind w:firstLine="420" w:firstLineChars="200"/>
    </w:pPr>
  </w:style>
  <w:style w:type="character" w:customStyle="1" w:styleId="26">
    <w:name w:val="页眉 字符"/>
    <w:basedOn w:val="19"/>
    <w:link w:val="14"/>
    <w:qFormat/>
    <w:uiPriority w:val="0"/>
    <w:rPr>
      <w:rFonts w:asciiTheme="minorHAnsi" w:hAnsiTheme="minorHAnsi" w:eastAsiaTheme="minorEastAsia" w:cstheme="minorBidi"/>
      <w:kern w:val="2"/>
      <w:sz w:val="18"/>
      <w:szCs w:val="18"/>
    </w:rPr>
  </w:style>
  <w:style w:type="character" w:customStyle="1" w:styleId="27">
    <w:name w:val="标题 3 字符"/>
    <w:basedOn w:val="19"/>
    <w:link w:val="4"/>
    <w:qFormat/>
    <w:uiPriority w:val="9"/>
    <w:rPr>
      <w:rFonts w:asciiTheme="minorHAnsi" w:hAnsiTheme="minorHAnsi" w:cstheme="minorBidi"/>
      <w:b/>
      <w:bCs/>
      <w:kern w:val="2"/>
      <w:sz w:val="32"/>
      <w:szCs w:val="32"/>
    </w:rPr>
  </w:style>
  <w:style w:type="character" w:customStyle="1" w:styleId="28">
    <w:name w:val="标题 4 字符"/>
    <w:basedOn w:val="19"/>
    <w:link w:val="5"/>
    <w:qFormat/>
    <w:uiPriority w:val="9"/>
    <w:rPr>
      <w:rFonts w:asciiTheme="majorHAnsi" w:hAnsiTheme="majorHAnsi" w:cstheme="majorBidi"/>
      <w:b/>
      <w:bCs/>
      <w:kern w:val="2"/>
      <w:sz w:val="28"/>
      <w:szCs w:val="28"/>
    </w:rPr>
  </w:style>
  <w:style w:type="character" w:customStyle="1" w:styleId="29">
    <w:name w:val="标题 5 字符"/>
    <w:basedOn w:val="19"/>
    <w:link w:val="6"/>
    <w:qFormat/>
    <w:uiPriority w:val="9"/>
    <w:rPr>
      <w:rFonts w:asciiTheme="minorHAnsi" w:hAnsiTheme="minorHAnsi" w:cstheme="minorBidi"/>
      <w:b/>
      <w:bCs/>
      <w:kern w:val="2"/>
      <w:sz w:val="28"/>
      <w:szCs w:val="28"/>
    </w:rPr>
  </w:style>
  <w:style w:type="character" w:customStyle="1" w:styleId="30">
    <w:name w:val="标题 8 字符"/>
    <w:basedOn w:val="19"/>
    <w:link w:val="9"/>
    <w:qFormat/>
    <w:uiPriority w:val="9"/>
    <w:rPr>
      <w:rFonts w:ascii="宋体" w:hAnsi="宋体" w:cstheme="majorBidi"/>
      <w:kern w:val="2"/>
      <w:sz w:val="24"/>
      <w:szCs w:val="21"/>
    </w:rPr>
  </w:style>
  <w:style w:type="character" w:customStyle="1" w:styleId="31">
    <w:name w:val="正文文本 字符"/>
    <w:basedOn w:val="19"/>
    <w:link w:val="12"/>
    <w:qFormat/>
    <w:uiPriority w:val="1"/>
    <w:rPr>
      <w:rFonts w:asciiTheme="minorHAnsi" w:hAnsiTheme="minorHAnsi" w:cstheme="minorBidi"/>
      <w:kern w:val="2"/>
      <w:sz w:val="24"/>
      <w:szCs w:val="22"/>
    </w:rPr>
  </w:style>
  <w:style w:type="character" w:customStyle="1" w:styleId="32">
    <w:name w:val="正文缩进 字符"/>
    <w:basedOn w:val="19"/>
    <w:link w:val="10"/>
    <w:qFormat/>
    <w:uiPriority w:val="0"/>
    <w:rPr>
      <w:rFonts w:asciiTheme="minorHAnsi" w:hAnsiTheme="minorHAnsi" w:eastAsiaTheme="minorEastAsia"/>
      <w:kern w:val="2"/>
      <w:sz w:val="21"/>
      <w:szCs w:val="24"/>
    </w:rPr>
  </w:style>
  <w:style w:type="paragraph" w:customStyle="1" w:styleId="33">
    <w:name w:val="加标首行缩进"/>
    <w:basedOn w:val="1"/>
    <w:link w:val="34"/>
    <w:qFormat/>
    <w:uiPriority w:val="0"/>
    <w:pPr>
      <w:widowControl/>
      <w:numPr>
        <w:ilvl w:val="0"/>
        <w:numId w:val="4"/>
      </w:numPr>
      <w:spacing w:line="360" w:lineRule="auto"/>
      <w:ind w:firstLine="0"/>
      <w:jc w:val="left"/>
    </w:pPr>
    <w:rPr>
      <w:rFonts w:ascii="Times New Roman" w:hAnsi="Times New Roman" w:eastAsia="宋体" w:cs="宋体"/>
      <w:kern w:val="0"/>
      <w:sz w:val="24"/>
    </w:rPr>
  </w:style>
  <w:style w:type="character" w:customStyle="1" w:styleId="34">
    <w:name w:val="加标首行缩进 字符"/>
    <w:basedOn w:val="19"/>
    <w:link w:val="33"/>
    <w:qFormat/>
    <w:uiPriority w:val="0"/>
    <w:rPr>
      <w:rFonts w:cs="宋体"/>
      <w:sz w:val="24"/>
      <w:szCs w:val="24"/>
    </w:rPr>
  </w:style>
  <w:style w:type="paragraph" w:customStyle="1" w:styleId="35">
    <w:name w:val="无样式"/>
    <w:link w:val="36"/>
    <w:qFormat/>
    <w:uiPriority w:val="0"/>
    <w:pPr>
      <w:spacing w:line="360" w:lineRule="auto"/>
    </w:pPr>
    <w:rPr>
      <w:rFonts w:ascii="Times New Roman" w:hAnsi="Times New Roman" w:eastAsia="宋体" w:cstheme="majorBidi"/>
      <w:kern w:val="2"/>
      <w:sz w:val="21"/>
      <w:lang w:val="en-US" w:eastAsia="zh-CN" w:bidi="ar-SA"/>
    </w:rPr>
  </w:style>
  <w:style w:type="character" w:customStyle="1" w:styleId="36">
    <w:name w:val="无样式 字符"/>
    <w:basedOn w:val="19"/>
    <w:link w:val="35"/>
    <w:qFormat/>
    <w:uiPriority w:val="0"/>
    <w:rPr>
      <w:rFonts w:cstheme="majorBidi"/>
      <w:kern w:val="2"/>
      <w:sz w:val="21"/>
    </w:rPr>
  </w:style>
  <w:style w:type="table" w:customStyle="1" w:styleId="37">
    <w:name w:val="表格内容居中"/>
    <w:basedOn w:val="18"/>
    <w:qFormat/>
    <w:uiPriority w:val="99"/>
    <w:pPr>
      <w:widowControl/>
      <w:spacing w:line="360" w:lineRule="auto"/>
      <w:jc w:val="center"/>
    </w:pPr>
    <w:rPr>
      <w:rFonts w:cstheme="minorBidi"/>
      <w:kern w:val="2"/>
      <w:sz w:val="21"/>
      <w:szCs w:val="21"/>
    </w:rPr>
    <w:tblPr>
      <w:jc w:val="center"/>
    </w:tblPr>
    <w:trPr>
      <w:jc w:val="center"/>
    </w:trPr>
    <w:tcPr>
      <w:vAlign w:val="center"/>
    </w:tcPr>
    <w:tblStylePr w:type="firstRow">
      <w:pPr>
        <w:wordWrap/>
        <w:spacing w:line="360" w:lineRule="auto"/>
        <w:jc w:val="center"/>
      </w:pPr>
      <w:rPr>
        <w:rFonts w:ascii="Times New Roman" w:hAnsi="Times New Roman" w:eastAsia="宋体"/>
        <w:b/>
        <w:sz w:val="21"/>
      </w:rPr>
      <w:tcPr>
        <w:shd w:val="clear" w:color="auto" w:fill="A5A5A5" w:themeFill="background1" w:themeFillShade="A6"/>
      </w:tcPr>
    </w:tblStylePr>
    <w:tblStylePr w:type="firstCol">
      <w:pPr>
        <w:jc w:val="center"/>
      </w:pPr>
      <w:rPr>
        <w:rFonts w:ascii="Times New Roman" w:hAnsi="Times New Roman" w:eastAsia="宋体"/>
        <w:sz w:val="21"/>
      </w:rPr>
    </w:tblStylePr>
  </w:style>
  <w:style w:type="table" w:customStyle="1" w:styleId="38">
    <w:name w:val="表格内容居左"/>
    <w:basedOn w:val="18"/>
    <w:qFormat/>
    <w:uiPriority w:val="99"/>
    <w:pPr>
      <w:widowControl/>
      <w:spacing w:line="360" w:lineRule="auto"/>
    </w:pPr>
    <w:rPr>
      <w:rFonts w:cstheme="minorBidi"/>
      <w:kern w:val="2"/>
      <w:sz w:val="21"/>
      <w:szCs w:val="21"/>
    </w:rPr>
    <w:tcPr>
      <w:vAlign w:val="center"/>
    </w:tcPr>
    <w:tblStylePr w:type="firstRow">
      <w:pPr>
        <w:jc w:val="center"/>
      </w:pPr>
      <w:rPr>
        <w:rFonts w:ascii="Times New Roman" w:hAnsi="Times New Roman" w:eastAsia="宋体"/>
        <w:b/>
        <w:sz w:val="21"/>
      </w:rPr>
      <w:tblPr>
        <w:jc w:val="center"/>
      </w:tblPr>
      <w:trPr>
        <w:jc w:val="center"/>
      </w:trPr>
      <w:tcPr>
        <w:shd w:val="clear" w:color="auto" w:fill="A5A5A5" w:themeFill="background1" w:themeFillShade="A6"/>
      </w:tcPr>
    </w:tblStylePr>
    <w:tblStylePr w:type="firstCol">
      <w:pPr>
        <w:jc w:val="center"/>
      </w:pPr>
      <w:rPr>
        <w:rFonts w:eastAsia="宋体"/>
        <w:sz w:val="21"/>
      </w:rPr>
      <w:tblPr>
        <w:jc w:val="center"/>
      </w:tblPr>
      <w:trPr>
        <w:jc w:val="center"/>
      </w:trPr>
    </w:tblStylePr>
  </w:style>
  <w:style w:type="character" w:customStyle="1" w:styleId="39">
    <w:name w:val="批注文字 字符"/>
    <w:basedOn w:val="19"/>
    <w:link w:val="11"/>
    <w:qFormat/>
    <w:uiPriority w:val="0"/>
    <w:rPr>
      <w:rFonts w:asciiTheme="minorHAnsi" w:hAnsiTheme="minorHAnsi" w:eastAsiaTheme="minorEastAsia" w:cstheme="minorBidi"/>
      <w:kern w:val="2"/>
      <w:sz w:val="21"/>
      <w:szCs w:val="24"/>
    </w:rPr>
  </w:style>
  <w:style w:type="character" w:customStyle="1" w:styleId="40">
    <w:name w:val="批注主题 字符"/>
    <w:basedOn w:val="39"/>
    <w:link w:val="16"/>
    <w:qFormat/>
    <w:uiPriority w:val="0"/>
    <w:rPr>
      <w:rFonts w:asciiTheme="minorHAnsi" w:hAnsiTheme="minorHAnsi" w:eastAsiaTheme="minorEastAsia" w:cstheme="minorBidi"/>
      <w:b/>
      <w:bCs/>
      <w:kern w:val="2"/>
      <w:sz w:val="21"/>
      <w:szCs w:val="24"/>
    </w:rPr>
  </w:style>
  <w:style w:type="paragraph" w:customStyle="1" w:styleId="41">
    <w:name w:val="表格样式"/>
    <w:basedOn w:val="1"/>
    <w:link w:val="42"/>
    <w:qFormat/>
    <w:uiPriority w:val="0"/>
    <w:pPr>
      <w:widowControl/>
      <w:jc w:val="center"/>
    </w:pPr>
    <w:rPr>
      <w:rFonts w:ascii="Times New Roman" w:hAnsi="Times New Roman" w:eastAsia="宋体"/>
      <w:szCs w:val="21"/>
    </w:rPr>
  </w:style>
  <w:style w:type="character" w:customStyle="1" w:styleId="42">
    <w:name w:val="表格样式 字符"/>
    <w:basedOn w:val="19"/>
    <w:link w:val="41"/>
    <w:qFormat/>
    <w:uiPriority w:val="0"/>
    <w:rPr>
      <w:rFonts w:cstheme="minorBidi"/>
      <w:kern w:val="2"/>
      <w:sz w:val="21"/>
      <w:szCs w:val="21"/>
    </w:rPr>
  </w:style>
  <w:style w:type="paragraph" w:customStyle="1" w:styleId="43">
    <w:name w:val="项目符号1"/>
    <w:basedOn w:val="10"/>
    <w:link w:val="44"/>
    <w:qFormat/>
    <w:uiPriority w:val="2"/>
    <w:pPr>
      <w:numPr>
        <w:ilvl w:val="0"/>
        <w:numId w:val="5"/>
      </w:numPr>
      <w:ind w:left="300" w:leftChars="100" w:hanging="200" w:hangingChars="200"/>
    </w:pPr>
    <w:rPr>
      <w:rFonts w:ascii="Calibri" w:hAnsi="Calibri" w:eastAsia="宋体"/>
      <w:szCs w:val="22"/>
    </w:rPr>
  </w:style>
  <w:style w:type="character" w:customStyle="1" w:styleId="44">
    <w:name w:val="项目符号1 字符"/>
    <w:basedOn w:val="19"/>
    <w:link w:val="43"/>
    <w:qFormat/>
    <w:uiPriority w:val="2"/>
    <w:rPr>
      <w:rFonts w:ascii="Calibri" w:hAnsi="Calibri"/>
      <w:kern w:val="2"/>
      <w:sz w:val="21"/>
      <w:szCs w:val="22"/>
    </w:rPr>
  </w:style>
  <w:style w:type="paragraph" w:customStyle="1" w:styleId="45">
    <w:name w:val="首行缩进"/>
    <w:basedOn w:val="1"/>
    <w:link w:val="46"/>
    <w:qFormat/>
    <w:uiPriority w:val="0"/>
    <w:pPr>
      <w:widowControl/>
      <w:spacing w:line="360" w:lineRule="auto"/>
      <w:ind w:firstLine="200" w:firstLineChars="200"/>
      <w:jc w:val="left"/>
    </w:pPr>
    <w:rPr>
      <w:rFonts w:ascii="Times New Roman" w:hAnsi="Times New Roman" w:eastAsia="宋体"/>
      <w:sz w:val="24"/>
      <w:szCs w:val="21"/>
    </w:rPr>
  </w:style>
  <w:style w:type="character" w:customStyle="1" w:styleId="46">
    <w:name w:val="首行缩进 字符"/>
    <w:basedOn w:val="19"/>
    <w:link w:val="45"/>
    <w:qFormat/>
    <w:uiPriority w:val="0"/>
    <w:rPr>
      <w:rFonts w:cstheme="minorBidi"/>
      <w:kern w:val="2"/>
      <w:sz w:val="24"/>
      <w:szCs w:val="21"/>
    </w:rPr>
  </w:style>
  <w:style w:type="table" w:customStyle="1" w:styleId="47">
    <w:name w:val="样式1"/>
    <w:basedOn w:val="17"/>
    <w:qFormat/>
    <w:uiPriority w:val="99"/>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tblStylePr w:type="firstRow">
      <w:pPr>
        <w:jc w:val="center"/>
      </w:pPr>
      <w:rPr>
        <w:rFonts w:eastAsia="宋体"/>
        <w:b/>
        <w:sz w:val="24"/>
      </w:rPr>
      <w:tcPr>
        <w:shd w:val="clear" w:color="auto" w:fill="BEBEBE" w:themeFill="background1" w:themeFillShade="BF"/>
        <w:vAlign w:val="center"/>
      </w:tcPr>
    </w:tblStylePr>
    <w:tblStylePr w:type="firstCol">
      <w:pPr>
        <w:jc w:val="center"/>
      </w:pPr>
      <w:rPr>
        <w:rFonts w:eastAsia="宋体"/>
        <w:sz w:val="21"/>
      </w:rPr>
    </w:tblStylePr>
  </w:style>
  <w:style w:type="character" w:customStyle="1" w:styleId="48">
    <w:name w:val="Unresolved Mention"/>
    <w:basedOn w:val="1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D3959-CD4D-494B-ADDF-573367D23FA3}">
  <ds:schemaRefs/>
</ds:datastoreItem>
</file>

<file path=docProps/app.xml><?xml version="1.0" encoding="utf-8"?>
<Properties xmlns="http://schemas.openxmlformats.org/officeDocument/2006/extended-properties" xmlns:vt="http://schemas.openxmlformats.org/officeDocument/2006/docPropsVTypes">
  <Template>Normal</Template>
  <Pages>5</Pages>
  <Words>2248</Words>
  <Characters>2380</Characters>
  <Lines>24</Lines>
  <Paragraphs>6</Paragraphs>
  <TotalTime>199</TotalTime>
  <ScaleCrop>false</ScaleCrop>
  <LinksUpToDate>false</LinksUpToDate>
  <CharactersWithSpaces>2391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2023-05-06T02:28:00Z</dcterms:created>
  <dc:creator>丁宇</dc:creator>
  <cp:lastModifiedBy>李晶</cp:lastModifiedBy>
  <dcterms:modified xsi:type="dcterms:W3CDTF">2025-06-28T07:51:28Z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1A7A9898BD904731843242D3792CB9AE_12</vt:lpwstr>
  </property>
  <property fmtid="{D5CDD505-2E9C-101B-9397-08002B2CF9AE}" pid="4" name="KSOTemplateDocerSaveRecord">
    <vt:lpwstr>eyJoZGlkIjoiYWZiMTI3MTk5ZTUxZDNjNzAyMTU2YWI4ZWJiYjFjNjciLCJ1c2VySWQiOiI2Mjg3MjA1MDUifQ==</vt:lpwstr>
  </property>
</Properties>
</file>