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XB20250630-01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2025年7月自动扒皮机构采购项目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61F4A9A3">
      <w:pPr>
        <w:spacing w:line="360" w:lineRule="auto"/>
        <w:ind w:firstLine="2880" w:firstLineChars="900"/>
        <w:jc w:val="both"/>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六月三十日</w:t>
      </w:r>
    </w:p>
    <w:p w14:paraId="4C8CBBA7">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5A2F84EC">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4668FB05">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180F7EE6">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38C89443">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7F242424">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7ADE7FE1">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6F98EE43">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6E9C6955">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2E418F2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56CD42D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0BB26C84">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115A5C7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18085D04">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6FA804C1">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5BED0FD1">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09D79E40">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422AE246">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65170E51">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31277A4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2A821676">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4DA747C6">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p>
    <w:p w14:paraId="57C63D09">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2025年7月自动扒皮机构采购项目</w:t>
      </w:r>
      <w:r>
        <w:rPr>
          <w:rFonts w:hint="eastAsia" w:ascii="黑体" w:hAnsi="黑体" w:eastAsia="黑体" w:cs="黑体"/>
          <w:b/>
          <w:bCs/>
          <w:color w:val="auto"/>
          <w:sz w:val="36"/>
          <w:szCs w:val="36"/>
          <w:highlight w:val="none"/>
          <w:lang w:eastAsia="zh-CN"/>
        </w:rPr>
        <w:t>询比采购</w:t>
      </w:r>
      <w:r>
        <w:rPr>
          <w:rFonts w:hint="eastAsia" w:ascii="黑体" w:hAnsi="黑体" w:eastAsia="黑体" w:cs="黑体"/>
          <w:b/>
          <w:bCs/>
          <w:color w:val="auto"/>
          <w:sz w:val="36"/>
          <w:szCs w:val="36"/>
          <w:highlight w:val="none"/>
          <w:lang w:val="en-US" w:eastAsia="zh-CN"/>
        </w:rPr>
        <w:t>邀请函</w:t>
      </w:r>
    </w:p>
    <w:p w14:paraId="2D8A1DDB">
      <w:pPr>
        <w:keepNext w:val="0"/>
        <w:keepLines w:val="0"/>
        <w:pageBreakBefore w:val="0"/>
        <w:shd w:val="clear" w:color="auto" w:fill="auto"/>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eastAsia="zh-CN"/>
        </w:rPr>
        <w:t>采购编号：</w:t>
      </w:r>
      <w:r>
        <w:rPr>
          <w:rFonts w:hint="eastAsia" w:ascii="仿宋" w:hAnsi="仿宋" w:eastAsia="仿宋" w:cs="仿宋"/>
          <w:b/>
          <w:bCs/>
          <w:color w:val="auto"/>
          <w:sz w:val="32"/>
          <w:szCs w:val="32"/>
          <w:highlight w:val="none"/>
          <w:lang w:val="en-US" w:eastAsia="zh-CN"/>
        </w:rPr>
        <w:t>XB20250630-01</w:t>
      </w:r>
      <w:r>
        <w:rPr>
          <w:rFonts w:hint="eastAsia" w:ascii="仿宋" w:hAnsi="仿宋" w:eastAsia="仿宋" w:cs="仿宋"/>
          <w:b/>
          <w:bCs/>
          <w:color w:val="auto"/>
          <w:sz w:val="32"/>
          <w:szCs w:val="32"/>
          <w:highlight w:val="none"/>
        </w:rPr>
        <w:t>）</w:t>
      </w:r>
    </w:p>
    <w:p w14:paraId="36B74E89">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采购自动扒皮机构</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adjustRightInd/>
        <w:snapToGrid/>
        <w:spacing w:before="0" w:after="0" w:line="640" w:lineRule="exact"/>
        <w:ind w:firstLine="643" w:firstLineChars="200"/>
        <w:jc w:val="both"/>
        <w:textAlignment w:val="auto"/>
        <w:rPr>
          <w:rFonts w:hint="eastAsia" w:ascii="仿宋" w:hAnsi="仿宋" w:eastAsia="仿宋" w:cs="仿宋"/>
          <w:b/>
          <w:bCs/>
          <w:color w:val="auto"/>
          <w:sz w:val="32"/>
          <w:szCs w:val="32"/>
          <w:lang w:val="en-US"/>
        </w:rPr>
      </w:pPr>
      <w:bookmarkStart w:id="0" w:name="_Toc33795775"/>
      <w:bookmarkStart w:id="1" w:name="_Toc20230"/>
      <w:bookmarkStart w:id="2" w:name="_Toc14440"/>
      <w:bookmarkStart w:id="3" w:name="_Toc4593"/>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adjustRightInd/>
        <w:snapToGrid/>
        <w:spacing w:before="0" w:after="0" w:line="640" w:lineRule="exact"/>
        <w:ind w:firstLine="320" w:firstLineChars="100"/>
        <w:jc w:val="both"/>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adjustRightInd/>
        <w:snapToGrid/>
        <w:spacing w:line="640" w:lineRule="exact"/>
        <w:ind w:firstLine="320" w:firstLineChars="1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14565"/>
      <w:bookmarkStart w:id="6" w:name="_Toc33795776"/>
      <w:bookmarkStart w:id="7" w:name="_Toc11471"/>
      <w:r>
        <w:rPr>
          <w:rFonts w:hint="eastAsia" w:ascii="仿宋" w:hAnsi="仿宋" w:eastAsia="仿宋" w:cs="仿宋"/>
          <w:color w:val="auto"/>
          <w:sz w:val="32"/>
          <w:szCs w:val="32"/>
          <w:lang w:eastAsia="zh-CN"/>
        </w:rPr>
        <w:t>陕西锌业有限公司</w:t>
      </w:r>
      <w:bookmarkEnd w:id="4"/>
      <w:bookmarkEnd w:id="5"/>
      <w:bookmarkEnd w:id="6"/>
      <w:bookmarkEnd w:id="7"/>
      <w:r>
        <w:rPr>
          <w:rFonts w:hint="eastAsia" w:ascii="仿宋" w:hAnsi="仿宋" w:eastAsia="仿宋" w:cs="仿宋"/>
          <w:b/>
          <w:bCs/>
          <w:color w:val="auto"/>
          <w:sz w:val="32"/>
          <w:szCs w:val="32"/>
          <w:highlight w:val="none"/>
          <w:lang w:val="en-US" w:eastAsia="zh-CN"/>
        </w:rPr>
        <w:t>7月自动扒皮机构采购项目</w:t>
      </w:r>
    </w:p>
    <w:p w14:paraId="720AA228">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合同签订后40个日历天到货，安装调试10天。</w:t>
      </w:r>
      <w:r>
        <w:rPr>
          <w:rFonts w:hint="eastAsia" w:ascii="仿宋" w:hAnsi="仿宋" w:eastAsia="仿宋" w:cs="仿宋"/>
          <w:color w:val="auto"/>
          <w:sz w:val="32"/>
          <w:szCs w:val="32"/>
        </w:rPr>
        <w:t>不能按期交货的，</w:t>
      </w:r>
      <w:r>
        <w:rPr>
          <w:rFonts w:hint="eastAsia" w:ascii="仿宋" w:hAnsi="仿宋" w:eastAsia="仿宋" w:cs="仿宋"/>
          <w:color w:val="auto"/>
          <w:sz w:val="32"/>
          <w:szCs w:val="32"/>
          <w:lang w:val="en-US" w:eastAsia="zh-CN"/>
        </w:rPr>
        <w:t>注明工期</w:t>
      </w:r>
      <w:r>
        <w:rPr>
          <w:rFonts w:hint="eastAsia" w:ascii="仿宋" w:hAnsi="仿宋" w:eastAsia="仿宋" w:cs="仿宋"/>
          <w:color w:val="auto"/>
          <w:sz w:val="32"/>
          <w:szCs w:val="32"/>
        </w:rPr>
        <w:t>。</w:t>
      </w:r>
    </w:p>
    <w:p w14:paraId="552C74E7">
      <w:pPr>
        <w:pageBreakBefore w:val="0"/>
        <w:widowControl w:val="0"/>
        <w:kinsoku/>
        <w:wordWrap/>
        <w:overflowPunct/>
        <w:topLinePunct w:val="0"/>
        <w:autoSpaceDE/>
        <w:autoSpaceDN/>
        <w:bidi w:val="0"/>
        <w:adjustRightInd/>
        <w:snapToGrid/>
        <w:spacing w:line="64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（四）交货地点：采购方指定地点。</w:t>
      </w:r>
    </w:p>
    <w:p w14:paraId="555CD9B0">
      <w:pPr>
        <w:pageBreakBefore w:val="0"/>
        <w:widowControl w:val="0"/>
        <w:kinsoku/>
        <w:wordWrap/>
        <w:overflowPunct/>
        <w:topLinePunct w:val="0"/>
        <w:autoSpaceDE/>
        <w:autoSpaceDN/>
        <w:bidi w:val="0"/>
        <w:adjustRightInd/>
        <w:snapToGrid/>
        <w:spacing w:line="64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p w14:paraId="3EB17BB8">
      <w:pPr>
        <w:pageBreakBefore w:val="0"/>
        <w:widowControl w:val="0"/>
        <w:kinsoku/>
        <w:wordWrap/>
        <w:overflowPunct/>
        <w:topLinePunct w:val="0"/>
        <w:autoSpaceDE/>
        <w:autoSpaceDN/>
        <w:bidi w:val="0"/>
        <w:adjustRightInd/>
        <w:snapToGrid/>
        <w:spacing w:line="640" w:lineRule="exact"/>
        <w:ind w:firstLine="643" w:firstLineChars="200"/>
        <w:jc w:val="both"/>
        <w:textAlignment w:val="auto"/>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5.1 需求描述</w:t>
      </w:r>
    </w:p>
    <w:p w14:paraId="50E895E5">
      <w:pPr>
        <w:keepNext w:val="0"/>
        <w:keepLines w:val="0"/>
        <w:pageBreakBefore w:val="0"/>
        <w:widowControl w:val="0"/>
        <w:kinsoku/>
        <w:wordWrap/>
        <w:overflowPunct w:val="0"/>
        <w:topLinePunct w:val="0"/>
        <w:autoSpaceDE/>
        <w:autoSpaceDN/>
        <w:bidi w:val="0"/>
        <w:adjustRightInd/>
        <w:snapToGrid/>
        <w:spacing w:line="640" w:lineRule="exact"/>
        <w:ind w:firstLine="643"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1、用于1#生产线</w:t>
      </w:r>
      <w:r>
        <w:rPr>
          <w:rFonts w:hint="eastAsia" w:ascii="仿宋" w:hAnsi="仿宋" w:eastAsia="仿宋" w:cs="仿宋"/>
          <w:color w:val="auto"/>
          <w:sz w:val="32"/>
          <w:szCs w:val="32"/>
          <w:highlight w:val="none"/>
          <w:lang w:val="en-US" w:eastAsia="zh-CN"/>
        </w:rPr>
        <w:t>锌冶炼铸型过程中锌液表皮物料的清理</w:t>
      </w:r>
      <w:r>
        <w:rPr>
          <w:rFonts w:hint="eastAsia" w:ascii="仿宋" w:hAnsi="仿宋" w:eastAsia="仿宋" w:cs="仿宋"/>
          <w:b/>
          <w:bCs/>
          <w:color w:val="auto"/>
          <w:sz w:val="32"/>
          <w:szCs w:val="32"/>
          <w:highlight w:val="none"/>
          <w:lang w:val="en-US" w:eastAsia="zh-CN"/>
        </w:rPr>
        <w:t>（一次成型2个模具）</w:t>
      </w:r>
      <w:r>
        <w:rPr>
          <w:rFonts w:hint="eastAsia" w:ascii="仿宋" w:hAnsi="仿宋" w:eastAsia="仿宋" w:cs="仿宋"/>
          <w:color w:val="auto"/>
          <w:sz w:val="32"/>
          <w:szCs w:val="32"/>
          <w:highlight w:val="none"/>
          <w:lang w:val="en-US" w:eastAsia="zh-CN"/>
        </w:rPr>
        <w:t>，单个铸型模具尺寸：466*232mm。</w:t>
      </w:r>
    </w:p>
    <w:p w14:paraId="4786ED63">
      <w:pPr>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b/>
          <w:bCs/>
          <w:color w:val="auto"/>
          <w:sz w:val="32"/>
          <w:szCs w:val="32"/>
          <w:highlight w:val="none"/>
          <w:lang w:val="en-US" w:eastAsia="zh-CN"/>
        </w:rPr>
        <w:t>用于2#生产线</w:t>
      </w:r>
      <w:r>
        <w:rPr>
          <w:rFonts w:hint="eastAsia" w:ascii="仿宋" w:hAnsi="仿宋" w:eastAsia="仿宋" w:cs="仿宋"/>
          <w:color w:val="auto"/>
          <w:sz w:val="32"/>
          <w:szCs w:val="32"/>
          <w:highlight w:val="none"/>
          <w:lang w:val="en-US" w:eastAsia="zh-CN"/>
        </w:rPr>
        <w:t>锌冶炼铸型过程中锌液表皮物料的清理</w:t>
      </w:r>
      <w:r>
        <w:rPr>
          <w:rFonts w:hint="eastAsia" w:ascii="仿宋" w:hAnsi="仿宋" w:eastAsia="仿宋" w:cs="仿宋"/>
          <w:b/>
          <w:bCs/>
          <w:color w:val="auto"/>
          <w:sz w:val="32"/>
          <w:szCs w:val="32"/>
          <w:highlight w:val="none"/>
          <w:lang w:val="en-US" w:eastAsia="zh-CN"/>
        </w:rPr>
        <w:t xml:space="preserve"> （一次成型4个模具），</w:t>
      </w:r>
      <w:r>
        <w:rPr>
          <w:rFonts w:hint="eastAsia" w:ascii="仿宋" w:hAnsi="仿宋" w:eastAsia="仿宋" w:cs="仿宋"/>
          <w:color w:val="auto"/>
          <w:sz w:val="32"/>
          <w:szCs w:val="32"/>
          <w:highlight w:val="none"/>
          <w:lang w:val="en-US" w:eastAsia="zh-CN"/>
        </w:rPr>
        <w:t>单个铸型模具尺寸：466*232mm。</w:t>
      </w:r>
    </w:p>
    <w:p w14:paraId="3CB555FA">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spacing w:val="10"/>
          <w:sz w:val="28"/>
          <w:szCs w:val="28"/>
          <w:highlight w:val="none"/>
          <w:lang w:val="en-US" w:eastAsia="zh-CN"/>
        </w:rPr>
      </w:pPr>
      <w:r>
        <w:rPr>
          <w:rFonts w:hint="eastAsia" w:ascii="仿宋" w:hAnsi="仿宋" w:eastAsia="仿宋" w:cs="仿宋"/>
          <w:color w:val="auto"/>
          <w:sz w:val="32"/>
          <w:szCs w:val="32"/>
          <w:highlight w:val="none"/>
          <w:lang w:val="en-US" w:eastAsia="zh-CN"/>
        </w:rPr>
        <w:t>供货范围：成套供货，交钥匙工程。</w:t>
      </w:r>
    </w:p>
    <w:p w14:paraId="65F70F1E">
      <w:pPr>
        <w:pageBreakBefore w:val="0"/>
        <w:widowControl w:val="0"/>
        <w:kinsoku/>
        <w:wordWrap/>
        <w:overflowPunct/>
        <w:topLinePunct w:val="0"/>
        <w:autoSpaceDE/>
        <w:autoSpaceDN/>
        <w:bidi w:val="0"/>
        <w:adjustRightInd/>
        <w:snapToGrid/>
        <w:spacing w:line="640" w:lineRule="exact"/>
        <w:ind w:firstLine="643" w:firstLineChars="200"/>
        <w:jc w:val="left"/>
        <w:textAlignment w:val="auto"/>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5.2工艺条件</w:t>
      </w:r>
    </w:p>
    <w:p w14:paraId="224DE360">
      <w:pPr>
        <w:keepNext w:val="0"/>
        <w:keepLines w:val="0"/>
        <w:pageBreakBefore w:val="0"/>
        <w:widowControl w:val="0"/>
        <w:kinsoku/>
        <w:wordWrap/>
        <w:overflowPunct w:val="0"/>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（1）介质温度：400-450℃</w:t>
      </w:r>
    </w:p>
    <w:p w14:paraId="3BC82071">
      <w:pPr>
        <w:keepNext w:val="0"/>
        <w:keepLines w:val="0"/>
        <w:pageBreakBefore w:val="0"/>
        <w:widowControl w:val="0"/>
        <w:kinsoku/>
        <w:wordWrap/>
        <w:overflowPunct w:val="0"/>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（2）单次清渣节拍≤10秒（参考值）。</w:t>
      </w:r>
    </w:p>
    <w:p w14:paraId="673664CB">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工作环境：室内工作，温度范围在20℃-40℃之间</w:t>
      </w:r>
      <w:r>
        <w:rPr>
          <w:rFonts w:hint="eastAsia" w:ascii="仿宋" w:hAnsi="仿宋" w:eastAsia="仿宋" w:cs="仿宋"/>
          <w:color w:val="auto"/>
          <w:sz w:val="32"/>
          <w:szCs w:val="32"/>
          <w:highlight w:val="none"/>
          <w:lang w:eastAsia="zh-CN"/>
        </w:rPr>
        <w:t>。</w:t>
      </w:r>
    </w:p>
    <w:p w14:paraId="204AF990">
      <w:pPr>
        <w:pageBreakBefore w:val="0"/>
        <w:widowControl w:val="0"/>
        <w:kinsoku/>
        <w:wordWrap/>
        <w:overflowPunct/>
        <w:topLinePunct w:val="0"/>
        <w:autoSpaceDE/>
        <w:autoSpaceDN/>
        <w:bidi w:val="0"/>
        <w:adjustRightInd/>
        <w:snapToGrid/>
        <w:spacing w:line="640" w:lineRule="exact"/>
        <w:ind w:firstLine="643" w:firstLineChars="200"/>
        <w:jc w:val="left"/>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5.3</w:t>
      </w:r>
      <w:r>
        <w:rPr>
          <w:rFonts w:hint="eastAsia" w:ascii="仿宋" w:hAnsi="仿宋" w:eastAsia="仿宋" w:cs="仿宋"/>
          <w:b/>
          <w:bCs/>
          <w:color w:val="auto"/>
          <w:sz w:val="32"/>
          <w:szCs w:val="32"/>
          <w:highlight w:val="none"/>
        </w:rPr>
        <w:t>、技术要求</w:t>
      </w:r>
    </w:p>
    <w:p w14:paraId="54D8BDA5">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控制系统：采用先进的控制系统，具备良好的稳定性和可靠性，支持多种编程方式。</w:t>
      </w:r>
    </w:p>
    <w:p w14:paraId="17891AE0">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操作界面：用户友好的触摸屏界面，支持中文操作</w:t>
      </w:r>
      <w:r>
        <w:rPr>
          <w:rFonts w:hint="eastAsia" w:ascii="仿宋" w:hAnsi="仿宋" w:eastAsia="仿宋" w:cs="仿宋"/>
          <w:color w:val="auto"/>
          <w:sz w:val="32"/>
          <w:szCs w:val="32"/>
          <w:highlight w:val="none"/>
          <w:lang w:eastAsia="zh-CN"/>
        </w:rPr>
        <w:t>。</w:t>
      </w:r>
    </w:p>
    <w:p w14:paraId="30FE44BE">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清渣</w:t>
      </w:r>
      <w:r>
        <w:rPr>
          <w:rFonts w:hint="eastAsia" w:ascii="仿宋" w:hAnsi="仿宋" w:eastAsia="仿宋" w:cs="仿宋"/>
          <w:color w:val="auto"/>
          <w:sz w:val="32"/>
          <w:szCs w:val="32"/>
          <w:highlight w:val="none"/>
        </w:rPr>
        <w:t>系统：</w:t>
      </w:r>
      <w:r>
        <w:rPr>
          <w:rFonts w:hint="eastAsia" w:ascii="仿宋" w:hAnsi="仿宋" w:eastAsia="仿宋" w:cs="仿宋"/>
          <w:color w:val="auto"/>
          <w:sz w:val="32"/>
          <w:szCs w:val="32"/>
          <w:highlight w:val="none"/>
          <w:lang w:val="en-US" w:eastAsia="zh-CN"/>
        </w:rPr>
        <w:t>快速准确，清渣过程中刮板材料与被清理锌液之间无粘连</w:t>
      </w:r>
      <w:r>
        <w:rPr>
          <w:rFonts w:hint="eastAsia" w:ascii="仿宋" w:hAnsi="仿宋" w:eastAsia="仿宋" w:cs="仿宋"/>
          <w:color w:val="auto"/>
          <w:sz w:val="32"/>
          <w:szCs w:val="32"/>
          <w:highlight w:val="none"/>
        </w:rPr>
        <w:t>。</w:t>
      </w:r>
    </w:p>
    <w:p w14:paraId="296208DB">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安全性能：具备完善的安全保护措施，包括防护罩、急停按钮等，确保操作人员的安全。</w:t>
      </w:r>
    </w:p>
    <w:p w14:paraId="5424B11C">
      <w:pPr>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精度要求：</w:t>
      </w:r>
      <w:r>
        <w:rPr>
          <w:rFonts w:hint="eastAsia" w:ascii="仿宋" w:hAnsi="仿宋" w:eastAsia="仿宋" w:cs="仿宋"/>
          <w:color w:val="auto"/>
          <w:sz w:val="32"/>
          <w:szCs w:val="32"/>
          <w:highlight w:val="none"/>
          <w:lang w:val="en-US" w:eastAsia="zh-CN"/>
        </w:rPr>
        <w:t>定位误差</w:t>
      </w:r>
      <w:r>
        <w:rPr>
          <w:rFonts w:hint="default" w:ascii="Arial" w:hAnsi="Arial" w:eastAsia="仿宋" w:cs="Arial"/>
          <w:color w:val="auto"/>
          <w:sz w:val="32"/>
          <w:szCs w:val="32"/>
          <w:highlight w:val="none"/>
          <w:lang w:val="en-US" w:eastAsia="zh-CN"/>
        </w:rPr>
        <w:t>≤</w:t>
      </w:r>
      <w:r>
        <w:rPr>
          <w:rFonts w:hint="eastAsia" w:ascii="仿宋" w:hAnsi="仿宋" w:eastAsia="仿宋" w:cs="仿宋"/>
          <w:color w:val="auto"/>
          <w:sz w:val="32"/>
          <w:szCs w:val="32"/>
          <w:highlight w:val="none"/>
          <w:lang w:val="en-US" w:eastAsia="zh-CN"/>
        </w:rPr>
        <w:t>5mm</w:t>
      </w:r>
    </w:p>
    <w:p w14:paraId="4DA6DC35">
      <w:pPr>
        <w:keepNext w:val="0"/>
        <w:keepLines w:val="0"/>
        <w:pageBreakBefore w:val="0"/>
        <w:widowControl w:val="0"/>
        <w:kinsoku/>
        <w:wordWrap/>
        <w:overflowPunct w:val="0"/>
        <w:topLinePunct w:val="0"/>
        <w:autoSpaceDE/>
        <w:autoSpaceDN/>
        <w:bidi w:val="0"/>
        <w:adjustRightInd w:val="0"/>
        <w:snapToGrid/>
        <w:spacing w:line="64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64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64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640" w:lineRule="exact"/>
        <w:ind w:firstLine="320" w:firstLineChars="100"/>
        <w:jc w:val="both"/>
        <w:rPr>
          <w:rFonts w:hint="eastAsia" w:ascii="仿宋" w:hAnsi="仿宋" w:eastAsia="仿宋" w:cs="仿宋"/>
          <w:bCs/>
          <w:color w:val="auto"/>
          <w:sz w:val="32"/>
          <w:szCs w:val="32"/>
          <w:lang w:eastAsia="zh-CN"/>
        </w:rPr>
      </w:pPr>
      <w:bookmarkStart w:id="8" w:name="_Toc14688"/>
      <w:bookmarkStart w:id="9" w:name="_Toc29895"/>
      <w:bookmarkStart w:id="10" w:name="_Toc14196"/>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6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6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left"/>
        <w:textAlignment w:val="auto"/>
        <w:rPr>
          <w:rFonts w:hint="default" w:ascii="仿宋" w:hAnsi="仿宋" w:eastAsia="仿宋" w:cs="仿宋"/>
          <w:sz w:val="24"/>
          <w:szCs w:val="24"/>
          <w:u w:val="none"/>
          <w:lang w:val="en-US"/>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color w:val="auto"/>
          <w:sz w:val="32"/>
          <w:szCs w:val="32"/>
          <w:lang w:val="en-US" w:eastAsia="zh-CN"/>
        </w:rPr>
        <w:t>合同生效后，卖方开具合同总额30%的增值税发票（税率13%），买方预付合同总额的30%；货到买方厂内，初步验收合格，卖方开具合同总额30%的增值税发票（税率13%），买方再付合同总额的30%；安装调试完毕，验收合格后，卖方开具合同总额40%的增值税发票（税率13%），买方再付合同总额的30%；留10%作为质保金，质保期满无质量问题需方一次付清。</w:t>
      </w:r>
      <w:r>
        <w:rPr>
          <w:rFonts w:hint="eastAsia" w:ascii="仿宋" w:hAnsi="仿宋" w:eastAsia="仿宋" w:cs="仿宋"/>
          <w:b/>
          <w:bCs/>
          <w:color w:val="auto"/>
          <w:sz w:val="32"/>
          <w:szCs w:val="32"/>
          <w:lang w:val="en-US" w:eastAsia="zh-CN"/>
        </w:rPr>
        <w:t>卖方可按付款进度开具发票，也可一次性开具全额发票，但必须先票后款。</w:t>
      </w:r>
    </w:p>
    <w:p w14:paraId="60C100EC">
      <w:pPr>
        <w:keepNext w:val="0"/>
        <w:keepLines w:val="0"/>
        <w:pageBreakBefore w:val="0"/>
        <w:widowControl w:val="0"/>
        <w:kinsoku/>
        <w:wordWrap/>
        <w:overflowPunct w:val="0"/>
        <w:topLinePunct w:val="0"/>
        <w:autoSpaceDE/>
        <w:autoSpaceDN/>
        <w:bidi w:val="0"/>
        <w:snapToGrid/>
        <w:spacing w:line="56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320" w:firstLineChars="100"/>
        <w:jc w:val="both"/>
        <w:textAlignment w:val="auto"/>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580B53CF">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320" w:firstLineChars="100"/>
        <w:jc w:val="both"/>
        <w:textAlignment w:val="auto"/>
        <w:rPr>
          <w:rFonts w:hint="default"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2</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若供应商为代理商的，须提供其代理品牌的授权委托书。</w:t>
      </w:r>
    </w:p>
    <w:p w14:paraId="23FDE825">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供应商2022年6月至今具有类似业绩（提供合同复印件，时间以合同签订时间为准），不少于2份；</w:t>
      </w:r>
    </w:p>
    <w:p w14:paraId="19EF910C">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6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6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6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w:t>
      </w:r>
      <w:r>
        <w:rPr>
          <w:rFonts w:hint="eastAsia" w:ascii="仿宋" w:hAnsi="仿宋" w:eastAsia="仿宋" w:cs="仿宋"/>
          <w:sz w:val="32"/>
          <w:szCs w:val="32"/>
          <w:highlight w:val="none"/>
          <w:lang w:val="en-US" w:eastAsia="zh-CN"/>
        </w:rPr>
        <w:t>设计费</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制造费、</w:t>
      </w:r>
      <w:r>
        <w:rPr>
          <w:rFonts w:hint="eastAsia" w:ascii="仿宋" w:hAnsi="仿宋" w:eastAsia="仿宋" w:cs="仿宋"/>
          <w:sz w:val="32"/>
          <w:szCs w:val="32"/>
          <w:highlight w:val="none"/>
        </w:rPr>
        <w:t>运输费、税费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指导安装调试费</w:t>
      </w:r>
      <w:r>
        <w:rPr>
          <w:rFonts w:hint="eastAsia" w:ascii="仿宋" w:hAnsi="仿宋" w:eastAsia="仿宋" w:cs="仿宋"/>
          <w:sz w:val="32"/>
          <w:szCs w:val="32"/>
          <w:highlight w:val="none"/>
        </w:rPr>
        <w:t>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6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44974510"/>
      <w:bookmarkStart w:id="13" w:name="_Toc25772"/>
      <w:bookmarkStart w:id="14" w:name="_Toc247513966"/>
      <w:bookmarkStart w:id="15" w:name="_Toc247527567"/>
      <w:bookmarkStart w:id="16" w:name="_Toc152045542"/>
      <w:bookmarkStart w:id="17" w:name="_Toc352691486"/>
      <w:bookmarkStart w:id="18" w:name="_Toc369531529"/>
      <w:bookmarkStart w:id="19" w:name="_Toc361508598"/>
      <w:bookmarkStart w:id="20" w:name="_Toc300834963"/>
      <w:bookmarkStart w:id="21" w:name="_Toc384308223"/>
      <w:bookmarkStart w:id="22" w:name="_Toc15204231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2319"/>
      <w:bookmarkStart w:id="24" w:name="_Toc152045543"/>
      <w:bookmarkStart w:id="25" w:name="_Toc384308224"/>
      <w:bookmarkStart w:id="26" w:name="_Toc15242"/>
      <w:bookmarkStart w:id="27" w:name="_Toc247527568"/>
      <w:bookmarkStart w:id="28" w:name="_Toc352691487"/>
      <w:bookmarkStart w:id="29" w:name="_Toc144974511"/>
      <w:bookmarkStart w:id="30" w:name="_Toc361508599"/>
      <w:bookmarkStart w:id="31" w:name="_Toc300834964"/>
      <w:bookmarkStart w:id="32" w:name="_Toc369531530"/>
      <w:bookmarkStart w:id="33" w:name="_Toc247513967"/>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6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6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2万元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52691490"/>
      <w:bookmarkStart w:id="35" w:name="_Toc369531533"/>
      <w:bookmarkStart w:id="36" w:name="_Toc384308227"/>
      <w:bookmarkStart w:id="37" w:name="_Toc361508602"/>
      <w:bookmarkStart w:id="38" w:name="_Toc29025"/>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4751"/>
      <w:bookmarkStart w:id="40" w:name="_Toc144974514"/>
      <w:bookmarkStart w:id="41" w:name="_Toc152045546"/>
      <w:bookmarkStart w:id="42" w:name="_Toc384308228"/>
      <w:bookmarkStart w:id="43" w:name="_Toc152042322"/>
      <w:bookmarkStart w:id="44" w:name="_Toc352691491"/>
      <w:bookmarkStart w:id="45" w:name="_Toc247513970"/>
      <w:bookmarkStart w:id="46" w:name="_Toc247527571"/>
      <w:bookmarkStart w:id="47" w:name="_Toc369531534"/>
      <w:bookmarkStart w:id="48" w:name="_Toc300834967"/>
      <w:bookmarkStart w:id="49" w:name="_Toc361508603"/>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44974515"/>
      <w:bookmarkStart w:id="51" w:name="_Toc384308229"/>
      <w:bookmarkStart w:id="52" w:name="_Toc300834968"/>
      <w:bookmarkStart w:id="53" w:name="_Toc17952"/>
      <w:bookmarkStart w:id="54" w:name="_Toc247513971"/>
      <w:bookmarkStart w:id="55" w:name="_Toc247527572"/>
      <w:bookmarkStart w:id="56" w:name="_Toc152045547"/>
      <w:bookmarkStart w:id="57" w:name="_Toc369531535"/>
      <w:bookmarkStart w:id="58" w:name="_Toc352691492"/>
      <w:bookmarkStart w:id="59" w:name="_Toc152042323"/>
      <w:bookmarkStart w:id="60" w:name="_Toc361508604"/>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6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60" w:lineRule="exact"/>
        <w:ind w:left="0" w:firstLine="320" w:firstLineChars="100"/>
        <w:jc w:val="both"/>
        <w:rPr>
          <w:rFonts w:hint="eastAsia" w:ascii="仿宋" w:hAnsi="仿宋" w:eastAsia="仿宋" w:cs="仿宋"/>
          <w:color w:val="auto"/>
          <w:sz w:val="32"/>
          <w:szCs w:val="32"/>
        </w:rPr>
      </w:pPr>
      <w:bookmarkStart w:id="61" w:name="_Toc21871"/>
      <w:bookmarkStart w:id="62" w:name="_Toc33795794"/>
      <w:bookmarkStart w:id="63" w:name="_Toc24514"/>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从2022年5月至今的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6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251DF29E">
      <w:pPr>
        <w:pStyle w:val="14"/>
        <w:keepNext w:val="0"/>
        <w:keepLines w:val="0"/>
        <w:pageBreakBefore w:val="0"/>
        <w:shd w:val="clear" w:color="auto" w:fill="auto"/>
        <w:kinsoku/>
        <w:wordWrap/>
        <w:overflowPunct/>
        <w:topLinePunct w:val="0"/>
        <w:autoSpaceDE/>
        <w:autoSpaceDN/>
        <w:bidi w:val="0"/>
        <w:adjustRightInd/>
        <w:snapToGrid/>
        <w:spacing w:before="0" w:beforeAutospacing="0" w:after="0" w:afterAutospacing="0" w:line="560" w:lineRule="exact"/>
        <w:ind w:left="0" w:firstLine="647" w:firstLineChars="200"/>
        <w:textAlignment w:val="auto"/>
        <w:rPr>
          <w:rFonts w:hint="eastAsia" w:ascii="仿宋" w:hAnsi="仿宋" w:eastAsia="仿宋" w:cs="仿宋"/>
          <w:b/>
          <w:bCs/>
          <w:color w:val="auto"/>
          <w:spacing w:val="1"/>
          <w:sz w:val="32"/>
          <w:szCs w:val="32"/>
          <w:highlight w:val="none"/>
          <w:lang w:eastAsia="zh-CN"/>
        </w:rPr>
      </w:pPr>
      <w:r>
        <w:rPr>
          <w:rFonts w:hint="eastAsia" w:ascii="仿宋" w:hAnsi="仿宋" w:eastAsia="仿宋" w:cs="仿宋"/>
          <w:b/>
          <w:bCs/>
          <w:color w:val="auto"/>
          <w:spacing w:val="1"/>
          <w:sz w:val="32"/>
          <w:szCs w:val="32"/>
          <w:highlight w:val="none"/>
          <w:lang w:val="en-US" w:eastAsia="zh-CN"/>
        </w:rPr>
        <w:t>四</w:t>
      </w:r>
      <w:r>
        <w:rPr>
          <w:rFonts w:hint="eastAsia" w:ascii="仿宋" w:hAnsi="仿宋" w:eastAsia="仿宋" w:cs="仿宋"/>
          <w:b/>
          <w:bCs/>
          <w:color w:val="auto"/>
          <w:spacing w:val="1"/>
          <w:sz w:val="32"/>
          <w:szCs w:val="32"/>
          <w:highlight w:val="none"/>
          <w:lang w:eastAsia="zh-CN"/>
        </w:rPr>
        <w:t>、响应文件的</w:t>
      </w:r>
      <w:r>
        <w:rPr>
          <w:rFonts w:hint="eastAsia" w:ascii="仿宋" w:hAnsi="仿宋" w:eastAsia="仿宋" w:cs="仿宋"/>
          <w:b/>
          <w:bCs/>
          <w:color w:val="auto"/>
          <w:spacing w:val="1"/>
          <w:sz w:val="32"/>
          <w:szCs w:val="32"/>
          <w:highlight w:val="none"/>
          <w:lang w:val="en-US" w:eastAsia="zh-CN"/>
        </w:rPr>
        <w:t>提</w:t>
      </w:r>
      <w:r>
        <w:rPr>
          <w:rFonts w:hint="eastAsia" w:ascii="仿宋" w:hAnsi="仿宋" w:eastAsia="仿宋" w:cs="仿宋"/>
          <w:b/>
          <w:bCs/>
          <w:color w:val="auto"/>
          <w:spacing w:val="1"/>
          <w:sz w:val="32"/>
          <w:szCs w:val="32"/>
          <w:highlight w:val="none"/>
          <w:lang w:eastAsia="zh-CN"/>
        </w:rPr>
        <w:t>交</w:t>
      </w:r>
    </w:p>
    <w:p w14:paraId="7738926E">
      <w:pPr>
        <w:pStyle w:val="14"/>
        <w:keepNext w:val="0"/>
        <w:keepLines w:val="0"/>
        <w:pageBreakBefore w:val="0"/>
        <w:shd w:val="clear" w:color="auto" w:fill="auto"/>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eastAsia" w:ascii="仿宋" w:hAnsi="仿宋" w:eastAsia="仿宋" w:cs="仿宋"/>
          <w:color w:val="auto"/>
          <w:spacing w:val="1"/>
          <w:sz w:val="32"/>
          <w:szCs w:val="32"/>
          <w:highlight w:val="none"/>
          <w:lang w:val="en-US" w:eastAsia="zh-CN"/>
        </w:rPr>
      </w:pPr>
      <w:r>
        <w:rPr>
          <w:rFonts w:hint="eastAsia" w:ascii="仿宋" w:hAnsi="仿宋" w:eastAsia="仿宋" w:cs="仿宋"/>
          <w:color w:val="auto"/>
          <w:spacing w:val="1"/>
          <w:sz w:val="32"/>
          <w:szCs w:val="32"/>
          <w:highlight w:val="none"/>
          <w:lang w:val="en-US" w:eastAsia="zh-CN"/>
        </w:rPr>
        <w:t>（一）响应文件提交截止时间：2025年7月 7</w:t>
      </w:r>
      <w:bookmarkStart w:id="146" w:name="_GoBack"/>
      <w:bookmarkEnd w:id="146"/>
      <w:r>
        <w:rPr>
          <w:rFonts w:hint="eastAsia" w:ascii="仿宋" w:hAnsi="仿宋" w:eastAsia="仿宋" w:cs="仿宋"/>
          <w:color w:val="auto"/>
          <w:spacing w:val="1"/>
          <w:sz w:val="32"/>
          <w:szCs w:val="32"/>
          <w:highlight w:val="none"/>
          <w:lang w:val="en-US" w:eastAsia="zh-CN"/>
        </w:rPr>
        <w:t xml:space="preserve">  日11时0分（北京时间）；</w:t>
      </w:r>
    </w:p>
    <w:p w14:paraId="060F7DB3">
      <w:pPr>
        <w:pStyle w:val="14"/>
        <w:keepNext w:val="0"/>
        <w:keepLines w:val="0"/>
        <w:pageBreakBefore w:val="0"/>
        <w:shd w:val="clear" w:color="auto" w:fill="auto"/>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pacing w:val="1"/>
          <w:sz w:val="32"/>
          <w:szCs w:val="32"/>
          <w:highlight w:val="none"/>
          <w:lang w:val="en-US" w:eastAsia="zh-CN"/>
        </w:rPr>
        <w:t>（二）提交方法：提交方法：</w:t>
      </w:r>
      <w:r>
        <w:rPr>
          <w:rFonts w:hint="eastAsia" w:ascii="仿宋" w:hAnsi="仿宋" w:eastAsia="仿宋" w:cs="仿宋"/>
          <w:color w:val="auto"/>
          <w:sz w:val="32"/>
          <w:szCs w:val="32"/>
          <w:lang w:val="en-US" w:eastAsia="zh-CN"/>
        </w:rPr>
        <w:t>将响应文件密封后直接送达或邮寄至</w:t>
      </w:r>
      <w:r>
        <w:rPr>
          <w:rFonts w:hint="eastAsia" w:ascii="仿宋" w:hAnsi="仿宋" w:eastAsia="仿宋" w:cs="仿宋"/>
          <w:b/>
          <w:bCs/>
          <w:color w:val="auto"/>
          <w:sz w:val="32"/>
          <w:szCs w:val="32"/>
          <w:lang w:val="en-US" w:eastAsia="zh-CN"/>
        </w:rPr>
        <w:t>陕西锌业有限公司办公楼二楼招投标办公室</w:t>
      </w:r>
      <w:r>
        <w:rPr>
          <w:rFonts w:hint="eastAsia" w:ascii="仿宋" w:hAnsi="仿宋" w:eastAsia="仿宋" w:cs="仿宋"/>
          <w:color w:val="auto"/>
          <w:sz w:val="32"/>
          <w:szCs w:val="32"/>
          <w:lang w:val="en-US" w:eastAsia="zh-CN"/>
        </w:rPr>
        <w:t>。</w:t>
      </w:r>
    </w:p>
    <w:p w14:paraId="07F7CE9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5"/>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邮递地址：陕西省商洛市商州区沙河子镇陕西锌业有限公司</w:t>
      </w:r>
      <w:r>
        <w:rPr>
          <w:rFonts w:hint="eastAsia" w:ascii="仿宋" w:hAnsi="仿宋" w:eastAsia="仿宋" w:cs="仿宋"/>
          <w:b/>
          <w:bCs/>
          <w:color w:val="auto"/>
          <w:sz w:val="32"/>
          <w:szCs w:val="32"/>
          <w:lang w:val="en-US" w:eastAsia="zh-CN"/>
        </w:rPr>
        <w:t>招投标办公室</w:t>
      </w:r>
      <w:r>
        <w:rPr>
          <w:rFonts w:hint="eastAsia" w:ascii="仿宋" w:hAnsi="仿宋" w:eastAsia="仿宋" w:cs="仿宋"/>
          <w:i w:val="0"/>
          <w:iCs w:val="0"/>
          <w:caps w:val="0"/>
          <w:color w:val="000000"/>
          <w:spacing w:val="0"/>
          <w:sz w:val="32"/>
          <w:szCs w:val="32"/>
        </w:rPr>
        <w:t>  </w:t>
      </w:r>
    </w:p>
    <w:p w14:paraId="52E0F07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5"/>
        <w:textAlignment w:val="auto"/>
        <w:rPr>
          <w:rFonts w:hint="eastAsia" w:ascii="仿宋" w:hAnsi="仿宋" w:eastAsia="仿宋" w:cs="仿宋"/>
          <w:b w:val="0"/>
          <w:bCs w:val="0"/>
          <w:i w:val="0"/>
          <w:iCs w:val="0"/>
          <w:caps w:val="0"/>
          <w:color w:val="000000"/>
          <w:spacing w:val="0"/>
          <w:sz w:val="32"/>
          <w:szCs w:val="32"/>
          <w:highlight w:val="none"/>
          <w:lang w:val="en-US" w:eastAsia="zh-CN"/>
        </w:rPr>
      </w:pPr>
      <w:r>
        <w:rPr>
          <w:rFonts w:hint="eastAsia" w:ascii="仿宋" w:hAnsi="仿宋" w:eastAsia="仿宋" w:cs="仿宋"/>
          <w:b w:val="0"/>
          <w:bCs w:val="0"/>
          <w:i w:val="0"/>
          <w:iCs w:val="0"/>
          <w:caps w:val="0"/>
          <w:color w:val="000000"/>
          <w:spacing w:val="0"/>
          <w:sz w:val="32"/>
          <w:szCs w:val="32"/>
          <w:highlight w:val="none"/>
        </w:rPr>
        <w:t>收件人：</w:t>
      </w:r>
      <w:r>
        <w:rPr>
          <w:rFonts w:hint="eastAsia" w:ascii="仿宋" w:hAnsi="仿宋" w:eastAsia="仿宋" w:cs="仿宋"/>
          <w:b w:val="0"/>
          <w:bCs w:val="0"/>
          <w:i w:val="0"/>
          <w:iCs w:val="0"/>
          <w:caps w:val="0"/>
          <w:color w:val="000000"/>
          <w:spacing w:val="0"/>
          <w:sz w:val="32"/>
          <w:szCs w:val="32"/>
          <w:highlight w:val="none"/>
          <w:lang w:val="en-US" w:eastAsia="zh-CN"/>
        </w:rPr>
        <w:t xml:space="preserve">李晶 </w:t>
      </w:r>
      <w:r>
        <w:rPr>
          <w:rFonts w:hint="eastAsia" w:ascii="仿宋" w:hAnsi="仿宋" w:eastAsia="仿宋" w:cs="仿宋"/>
          <w:b w:val="0"/>
          <w:bCs w:val="0"/>
          <w:i w:val="0"/>
          <w:iCs w:val="0"/>
          <w:caps w:val="0"/>
          <w:color w:val="000000"/>
          <w:spacing w:val="0"/>
          <w:sz w:val="32"/>
          <w:szCs w:val="32"/>
          <w:highlight w:val="none"/>
        </w:rPr>
        <w:t>  </w:t>
      </w:r>
      <w:r>
        <w:rPr>
          <w:rFonts w:hint="eastAsia" w:ascii="仿宋" w:hAnsi="仿宋" w:eastAsia="仿宋" w:cs="仿宋"/>
          <w:b w:val="0"/>
          <w:bCs w:val="0"/>
          <w:i w:val="0"/>
          <w:iCs w:val="0"/>
          <w:caps w:val="0"/>
          <w:color w:val="000000"/>
          <w:spacing w:val="0"/>
          <w:sz w:val="32"/>
          <w:szCs w:val="32"/>
          <w:highlight w:val="none"/>
          <w:lang w:val="en-US" w:eastAsia="zh-CN"/>
        </w:rPr>
        <w:t xml:space="preserve">        </w:t>
      </w:r>
      <w:r>
        <w:rPr>
          <w:rFonts w:hint="eastAsia" w:ascii="仿宋" w:hAnsi="仿宋" w:eastAsia="仿宋" w:cs="仿宋"/>
          <w:b w:val="0"/>
          <w:bCs w:val="0"/>
          <w:i w:val="0"/>
          <w:iCs w:val="0"/>
          <w:caps w:val="0"/>
          <w:color w:val="000000"/>
          <w:spacing w:val="0"/>
          <w:sz w:val="32"/>
          <w:szCs w:val="32"/>
          <w:highlight w:val="none"/>
        </w:rPr>
        <w:t>电话：</w:t>
      </w:r>
      <w:r>
        <w:rPr>
          <w:rFonts w:hint="eastAsia" w:ascii="仿宋" w:hAnsi="仿宋" w:eastAsia="仿宋" w:cs="仿宋"/>
          <w:b w:val="0"/>
          <w:bCs w:val="0"/>
          <w:i w:val="0"/>
          <w:iCs w:val="0"/>
          <w:caps w:val="0"/>
          <w:color w:val="000000"/>
          <w:spacing w:val="0"/>
          <w:sz w:val="32"/>
          <w:szCs w:val="32"/>
          <w:highlight w:val="none"/>
          <w:lang w:val="en-US" w:eastAsia="zh-CN"/>
        </w:rPr>
        <w:t>18091466669</w:t>
      </w:r>
    </w:p>
    <w:p w14:paraId="05583DC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5"/>
        <w:textAlignment w:val="auto"/>
        <w:rPr>
          <w:rFonts w:hint="default" w:ascii="仿宋" w:hAnsi="仿宋" w:eastAsia="仿宋" w:cs="仿宋"/>
          <w:b w:val="0"/>
          <w:bCs w:val="0"/>
          <w:i w:val="0"/>
          <w:iCs w:val="0"/>
          <w:caps w:val="0"/>
          <w:color w:val="000000"/>
          <w:spacing w:val="0"/>
          <w:sz w:val="32"/>
          <w:szCs w:val="32"/>
          <w:lang w:val="en-US" w:eastAsia="zh-CN"/>
        </w:rPr>
      </w:pPr>
      <w:r>
        <w:rPr>
          <w:rFonts w:hint="eastAsia" w:ascii="仿宋" w:hAnsi="仿宋" w:eastAsia="仿宋" w:cs="仿宋"/>
          <w:b w:val="0"/>
          <w:bCs w:val="0"/>
          <w:i w:val="0"/>
          <w:iCs w:val="0"/>
          <w:caps w:val="0"/>
          <w:color w:val="000000"/>
          <w:spacing w:val="0"/>
          <w:sz w:val="32"/>
          <w:szCs w:val="32"/>
          <w:lang w:val="en-US" w:eastAsia="zh-CN"/>
        </w:rPr>
        <w:t>技术联系人：杜正锋    电话：18991560164</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6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4CD8356C">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bookmarkStart w:id="65" w:name="_Toc33795807"/>
      <w:bookmarkStart w:id="66" w:name="_Toc8518"/>
      <w:bookmarkStart w:id="67" w:name="_Toc9481"/>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审采用综合评估法，详见附表。</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60" w:lineRule="exact"/>
        <w:ind w:lef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65"/>
      <w:bookmarkEnd w:id="66"/>
      <w:bookmarkEnd w:id="67"/>
    </w:p>
    <w:p w14:paraId="4D803931">
      <w:pPr>
        <w:pStyle w:val="4"/>
        <w:keepNext w:val="0"/>
        <w:keepLines w:val="0"/>
        <w:pageBreakBefore w:val="0"/>
        <w:widowControl w:val="0"/>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rPr>
      </w:pPr>
      <w:bookmarkStart w:id="68" w:name="_Toc16094"/>
      <w:bookmarkStart w:id="69" w:name="_Toc30852"/>
      <w:bookmarkStart w:id="70" w:name="_Toc21093"/>
      <w:bookmarkStart w:id="71" w:name="_Toc3379580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68"/>
      <w:bookmarkEnd w:id="69"/>
      <w:bookmarkEnd w:id="70"/>
      <w:bookmarkEnd w:id="71"/>
    </w:p>
    <w:p w14:paraId="4CD35D48">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bookmarkStart w:id="72" w:name="_Toc10372"/>
      <w:bookmarkStart w:id="73" w:name="_Toc19079"/>
      <w:bookmarkStart w:id="74" w:name="_Toc7018"/>
      <w:bookmarkStart w:id="75" w:name="_Toc33795809"/>
      <w:r>
        <w:rPr>
          <w:rFonts w:hint="eastAsia" w:ascii="仿宋" w:hAnsi="仿宋" w:eastAsia="仿宋" w:cs="仿宋"/>
          <w:sz w:val="32"/>
          <w:szCs w:val="32"/>
        </w:rPr>
        <w:t>在陕西锌业有限公司网络采购平台www.sxxyjjpt.com公示成交候选人，公示期不少于3天。</w:t>
      </w:r>
    </w:p>
    <w:p w14:paraId="2B22E065">
      <w:pPr>
        <w:pStyle w:val="4"/>
        <w:keepNext w:val="0"/>
        <w:keepLines w:val="0"/>
        <w:pageBreakBefore w:val="0"/>
        <w:widowControl w:val="0"/>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72"/>
      <w:bookmarkEnd w:id="73"/>
      <w:bookmarkEnd w:id="74"/>
      <w:bookmarkEnd w:id="75"/>
    </w:p>
    <w:p w14:paraId="08CCEB16">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76" w:name="_Toc144974529"/>
      <w:bookmarkStart w:id="77" w:name="_Toc247527586"/>
      <w:bookmarkStart w:id="78" w:name="_Toc369531549"/>
      <w:bookmarkStart w:id="79" w:name="_Toc361508618"/>
      <w:bookmarkStart w:id="80" w:name="_Toc352691505"/>
      <w:bookmarkStart w:id="81" w:name="_Toc152045561"/>
      <w:bookmarkStart w:id="82" w:name="_Toc384308243"/>
      <w:bookmarkStart w:id="83" w:name="_Toc247513985"/>
      <w:bookmarkStart w:id="84" w:name="_Toc152042337"/>
      <w:bookmarkStart w:id="85" w:name="_Toc30095"/>
      <w:bookmarkStart w:id="86" w:name="_Toc300834982"/>
      <w:r>
        <w:rPr>
          <w:rFonts w:hint="eastAsia" w:ascii="仿宋" w:hAnsi="仿宋" w:eastAsia="仿宋" w:cs="仿宋"/>
          <w:color w:val="auto"/>
          <w:sz w:val="32"/>
          <w:szCs w:val="32"/>
        </w:rPr>
        <w:t>害关系人对</w:t>
      </w:r>
      <w:bookmarkEnd w:id="76"/>
      <w:bookmarkEnd w:id="77"/>
      <w:bookmarkEnd w:id="78"/>
      <w:bookmarkEnd w:id="79"/>
      <w:bookmarkEnd w:id="80"/>
      <w:bookmarkEnd w:id="81"/>
      <w:bookmarkEnd w:id="82"/>
      <w:bookmarkEnd w:id="83"/>
      <w:bookmarkEnd w:id="84"/>
      <w:bookmarkEnd w:id="85"/>
      <w:bookmarkEnd w:id="86"/>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rPr>
      </w:pPr>
      <w:bookmarkStart w:id="87" w:name="_Toc28756"/>
      <w:bookmarkStart w:id="88" w:name="_Toc25590"/>
      <w:bookmarkStart w:id="89" w:name="_Toc21648"/>
      <w:bookmarkStart w:id="90"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87"/>
      <w:bookmarkEnd w:id="88"/>
      <w:bookmarkEnd w:id="89"/>
      <w:bookmarkEnd w:id="90"/>
    </w:p>
    <w:p w14:paraId="000B4836">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lang w:val="en-US"/>
        </w:rPr>
      </w:pPr>
      <w:bookmarkStart w:id="91" w:name="_Toc2191"/>
      <w:bookmarkStart w:id="92" w:name="_Toc33795811"/>
      <w:bookmarkStart w:id="93" w:name="_Toc24665"/>
      <w:bookmarkStart w:id="94"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91"/>
      <w:bookmarkEnd w:id="92"/>
      <w:bookmarkEnd w:id="93"/>
      <w:bookmarkEnd w:id="94"/>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6B5EF980">
      <w:pPr>
        <w:pStyle w:val="4"/>
        <w:keepNext w:val="0"/>
        <w:keepLines w:val="0"/>
        <w:pageBreakBefore w:val="0"/>
        <w:widowControl w:val="0"/>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rPr>
      </w:pPr>
      <w:bookmarkStart w:id="95" w:name="_Toc33795813"/>
      <w:bookmarkStart w:id="96" w:name="_Toc4342"/>
      <w:bookmarkStart w:id="97" w:name="_Toc30705"/>
      <w:bookmarkStart w:id="98" w:name="_Toc21613"/>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五</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履约担保</w:t>
      </w:r>
      <w:bookmarkEnd w:id="95"/>
      <w:bookmarkEnd w:id="96"/>
      <w:bookmarkEnd w:id="97"/>
      <w:bookmarkEnd w:id="98"/>
    </w:p>
    <w:p w14:paraId="59CE2AC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bookmarkStart w:id="99" w:name="_Toc14362"/>
      <w:bookmarkStart w:id="100" w:name="_Toc11183"/>
      <w:bookmarkStart w:id="101" w:name="_Toc33795814"/>
      <w:bookmarkStart w:id="102" w:name="_Toc3671"/>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人应</w:t>
      </w:r>
      <w:r>
        <w:rPr>
          <w:rFonts w:hint="eastAsia" w:ascii="仿宋" w:hAnsi="仿宋" w:eastAsia="仿宋" w:cs="仿宋"/>
          <w:color w:val="auto"/>
          <w:sz w:val="32"/>
          <w:szCs w:val="32"/>
          <w:highlight w:val="none"/>
          <w:lang w:val="en-US" w:eastAsia="zh-CN"/>
        </w:rPr>
        <w:t>按合同金额的10%以担保函或转账形式在收到成交通知后7日内</w:t>
      </w:r>
      <w:r>
        <w:rPr>
          <w:rFonts w:hint="eastAsia" w:ascii="仿宋" w:hAnsi="仿宋" w:eastAsia="仿宋" w:cs="仿宋"/>
          <w:color w:val="auto"/>
          <w:sz w:val="32"/>
          <w:szCs w:val="32"/>
          <w:highlight w:val="none"/>
        </w:rPr>
        <w:t>向</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提交履约担保。</w:t>
      </w:r>
    </w:p>
    <w:p w14:paraId="50FCDD11">
      <w:pPr>
        <w:pStyle w:val="4"/>
        <w:keepNext w:val="0"/>
        <w:keepLines w:val="0"/>
        <w:pageBreakBefore w:val="0"/>
        <w:widowControl w:val="0"/>
        <w:kinsoku/>
        <w:wordWrap/>
        <w:overflowPunct w:val="0"/>
        <w:topLinePunct w:val="0"/>
        <w:autoSpaceDE/>
        <w:autoSpaceDN/>
        <w:bidi w:val="0"/>
        <w:adjustRightInd/>
        <w:snapToGrid/>
        <w:spacing w:before="0" w:after="0" w:line="560" w:lineRule="exact"/>
        <w:ind w:left="0" w:lef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人不能按</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rPr>
        <w:t>要求提交履约担保的，视为放弃</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，其</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不予退还，给</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造成的损失超</w:t>
      </w:r>
      <w:r>
        <w:rPr>
          <w:rFonts w:hint="eastAsia" w:ascii="仿宋" w:hAnsi="仿宋" w:eastAsia="仿宋" w:cs="仿宋"/>
          <w:color w:val="auto"/>
          <w:sz w:val="32"/>
          <w:szCs w:val="32"/>
          <w:highlight w:val="none"/>
          <w:lang w:val="en-US" w:eastAsia="zh-CN"/>
        </w:rPr>
        <w:t>出</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数额的，</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人还应当对超</w:t>
      </w:r>
      <w:r>
        <w:rPr>
          <w:rFonts w:hint="eastAsia" w:ascii="仿宋" w:hAnsi="仿宋" w:eastAsia="仿宋" w:cs="仿宋"/>
          <w:color w:val="auto"/>
          <w:sz w:val="32"/>
          <w:szCs w:val="32"/>
          <w:highlight w:val="none"/>
          <w:lang w:val="en-US" w:eastAsia="zh-CN"/>
        </w:rPr>
        <w:t>出</w:t>
      </w:r>
      <w:r>
        <w:rPr>
          <w:rFonts w:hint="eastAsia" w:ascii="仿宋" w:hAnsi="仿宋" w:eastAsia="仿宋" w:cs="仿宋"/>
          <w:color w:val="auto"/>
          <w:sz w:val="32"/>
          <w:szCs w:val="32"/>
          <w:highlight w:val="none"/>
        </w:rPr>
        <w:t>部分予以赔偿。</w:t>
      </w:r>
    </w:p>
    <w:p w14:paraId="6BA626B3">
      <w:pPr>
        <w:pStyle w:val="4"/>
        <w:keepNext w:val="0"/>
        <w:keepLines w:val="0"/>
        <w:pageBreakBefore w:val="0"/>
        <w:widowControl w:val="0"/>
        <w:kinsoku/>
        <w:wordWrap/>
        <w:overflowPunct w:val="0"/>
        <w:topLinePunct w:val="0"/>
        <w:autoSpaceDE/>
        <w:autoSpaceDN/>
        <w:bidi w:val="0"/>
        <w:adjustRightInd/>
        <w:snapToGrid/>
        <w:spacing w:before="0" w:after="0" w:line="560" w:lineRule="exact"/>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99"/>
      <w:bookmarkEnd w:id="100"/>
      <w:bookmarkEnd w:id="101"/>
      <w:bookmarkEnd w:id="102"/>
    </w:p>
    <w:p w14:paraId="763C6EF8">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bookmarkStart w:id="103" w:name="_Toc361508627"/>
      <w:bookmarkStart w:id="104" w:name="_Toc24067"/>
      <w:bookmarkStart w:id="105" w:name="_Toc384308252"/>
      <w:bookmarkStart w:id="106" w:name="_Toc247527593"/>
      <w:bookmarkStart w:id="107" w:name="_Toc300834991"/>
      <w:bookmarkStart w:id="108" w:name="_Toc144974536"/>
      <w:bookmarkStart w:id="109" w:name="_Toc152045568"/>
      <w:bookmarkStart w:id="110" w:name="_Toc247513992"/>
      <w:bookmarkStart w:id="111" w:name="_Toc152042344"/>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w:t>
      </w:r>
      <w:r>
        <w:rPr>
          <w:rFonts w:hint="eastAsia" w:ascii="仿宋" w:hAnsi="仿宋" w:eastAsia="仿宋" w:cs="仿宋"/>
          <w:color w:val="auto"/>
          <w:sz w:val="32"/>
          <w:szCs w:val="32"/>
          <w:lang w:val="en-US" w:eastAsia="zh-CN"/>
        </w:rPr>
        <w:t>收到成交</w:t>
      </w:r>
      <w:r>
        <w:rPr>
          <w:rFonts w:hint="eastAsia" w:ascii="仿宋" w:hAnsi="仿宋" w:eastAsia="仿宋" w:cs="仿宋"/>
          <w:color w:val="auto"/>
          <w:sz w:val="32"/>
          <w:szCs w:val="32"/>
        </w:rPr>
        <w:t>通知之日起</w:t>
      </w:r>
      <w:bookmarkStart w:id="112" w:name="_Toc369531553"/>
      <w:bookmarkStart w:id="113" w:name="_Toc300834986"/>
      <w:bookmarkStart w:id="114" w:name="_Toc152042340"/>
      <w:bookmarkStart w:id="115" w:name="_Toc384308247"/>
      <w:bookmarkStart w:id="116" w:name="_Toc144974532"/>
      <w:bookmarkStart w:id="117" w:name="_Toc247513988"/>
      <w:bookmarkStart w:id="118" w:name="_Toc361508622"/>
      <w:bookmarkStart w:id="119" w:name="_Toc4656"/>
      <w:bookmarkStart w:id="120" w:name="_Toc152045564"/>
      <w:bookmarkStart w:id="121" w:name="_Toc247527589"/>
      <w:bookmarkStart w:id="122" w:name="_Toc35269150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12"/>
      <w:bookmarkEnd w:id="113"/>
      <w:bookmarkEnd w:id="114"/>
      <w:bookmarkEnd w:id="115"/>
      <w:bookmarkEnd w:id="116"/>
      <w:bookmarkEnd w:id="117"/>
      <w:bookmarkEnd w:id="118"/>
      <w:bookmarkEnd w:id="119"/>
      <w:bookmarkEnd w:id="120"/>
      <w:bookmarkEnd w:id="121"/>
      <w:bookmarkEnd w:id="12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23" w:name="_Toc152042341"/>
      <w:bookmarkStart w:id="124" w:name="_Toc300834987"/>
      <w:bookmarkStart w:id="125" w:name="_Toc369531554"/>
      <w:bookmarkStart w:id="126" w:name="_Toc247513989"/>
      <w:bookmarkStart w:id="127" w:name="_Toc247527590"/>
      <w:bookmarkStart w:id="128" w:name="_Toc352691510"/>
      <w:bookmarkStart w:id="129" w:name="_Toc384308248"/>
      <w:bookmarkStart w:id="130" w:name="_Toc152045565"/>
      <w:bookmarkStart w:id="131" w:name="_Toc144974533"/>
      <w:bookmarkStart w:id="132" w:name="_Toc18247"/>
      <w:bookmarkStart w:id="133" w:name="_Toc361508623"/>
      <w:r>
        <w:rPr>
          <w:rFonts w:hint="eastAsia" w:ascii="仿宋" w:hAnsi="仿宋" w:eastAsia="仿宋" w:cs="仿宋"/>
          <w:color w:val="auto"/>
          <w:sz w:val="32"/>
          <w:szCs w:val="32"/>
        </w:rPr>
        <w:t>当理由拒签合</w:t>
      </w:r>
      <w:bookmarkEnd w:id="123"/>
      <w:bookmarkEnd w:id="124"/>
      <w:bookmarkEnd w:id="125"/>
      <w:bookmarkEnd w:id="126"/>
      <w:bookmarkEnd w:id="127"/>
      <w:bookmarkEnd w:id="128"/>
      <w:bookmarkEnd w:id="129"/>
      <w:bookmarkEnd w:id="130"/>
      <w:bookmarkEnd w:id="131"/>
      <w:bookmarkEnd w:id="132"/>
      <w:bookmarkEnd w:id="13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10AFD138">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p>
    <w:bookmarkEnd w:id="103"/>
    <w:bookmarkEnd w:id="104"/>
    <w:bookmarkEnd w:id="105"/>
    <w:p w14:paraId="14AA1C27">
      <w:pPr>
        <w:pStyle w:val="3"/>
        <w:keepNext w:val="0"/>
        <w:keepLines w:val="0"/>
        <w:pageBreakBefore w:val="0"/>
        <w:widowControl w:val="0"/>
        <w:kinsoku/>
        <w:wordWrap/>
        <w:overflowPunct w:val="0"/>
        <w:topLinePunct w:val="0"/>
        <w:autoSpaceDE/>
        <w:autoSpaceDN/>
        <w:bidi w:val="0"/>
        <w:adjustRightInd/>
        <w:snapToGrid/>
        <w:spacing w:before="0" w:after="0" w:line="560" w:lineRule="exact"/>
        <w:ind w:left="0" w:firstLine="643" w:firstLineChars="200"/>
        <w:jc w:val="both"/>
        <w:textAlignment w:val="auto"/>
        <w:rPr>
          <w:rFonts w:hint="eastAsia" w:ascii="仿宋" w:hAnsi="仿宋" w:eastAsia="仿宋" w:cs="仿宋"/>
          <w:color w:val="auto"/>
          <w:sz w:val="32"/>
          <w:szCs w:val="32"/>
        </w:rPr>
      </w:pPr>
      <w:bookmarkStart w:id="134" w:name="_Toc33795815"/>
      <w:bookmarkStart w:id="135" w:name="_Toc25347"/>
      <w:bookmarkStart w:id="136"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34"/>
      <w:bookmarkEnd w:id="135"/>
      <w:bookmarkEnd w:id="136"/>
    </w:p>
    <w:p w14:paraId="53CAF616">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37" w:name="_Toc384308253"/>
      <w:bookmarkStart w:id="138" w:name="_Toc361508628"/>
      <w:bookmarkStart w:id="139" w:name="_Toc352691515"/>
      <w:bookmarkStart w:id="140" w:name="_Toc13644"/>
      <w:bookmarkStart w:id="141" w:name="_Toc369531559"/>
      <w:r>
        <w:rPr>
          <w:rFonts w:hint="eastAsia" w:ascii="仿宋" w:hAnsi="仿宋" w:eastAsia="仿宋" w:cs="仿宋"/>
          <w:color w:val="auto"/>
          <w:sz w:val="32"/>
          <w:szCs w:val="32"/>
        </w:rPr>
        <w:t>和比较、</w:t>
      </w:r>
      <w:bookmarkEnd w:id="106"/>
      <w:bookmarkEnd w:id="107"/>
      <w:bookmarkEnd w:id="108"/>
      <w:bookmarkEnd w:id="109"/>
      <w:bookmarkEnd w:id="110"/>
      <w:bookmarkEnd w:id="111"/>
      <w:bookmarkEnd w:id="137"/>
      <w:bookmarkEnd w:id="138"/>
      <w:bookmarkEnd w:id="139"/>
      <w:bookmarkEnd w:id="140"/>
      <w:bookmarkEnd w:id="141"/>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after="0" w:line="560" w:lineRule="exact"/>
        <w:ind w:left="0" w:firstLine="640" w:firstLineChars="200"/>
        <w:jc w:val="both"/>
        <w:textAlignment w:val="auto"/>
        <w:rPr>
          <w:rFonts w:hint="eastAsia" w:ascii="仿宋" w:hAnsi="仿宋" w:eastAsia="仿宋" w:cs="仿宋"/>
          <w:color w:val="auto"/>
          <w:sz w:val="32"/>
          <w:szCs w:val="32"/>
        </w:rPr>
      </w:pPr>
      <w:bookmarkStart w:id="142" w:name="_Toc24957"/>
      <w:bookmarkStart w:id="143" w:name="_Toc22294"/>
      <w:bookmarkStart w:id="144" w:name="_Toc18070"/>
      <w:bookmarkStart w:id="145" w:name="_Toc33795820"/>
      <w:r>
        <w:rPr>
          <w:rFonts w:hint="eastAsia" w:ascii="仿宋" w:hAnsi="仿宋" w:eastAsia="仿宋" w:cs="仿宋"/>
          <w:color w:val="auto"/>
          <w:sz w:val="32"/>
          <w:szCs w:val="32"/>
          <w:lang w:val="en-US" w:eastAsia="zh-CN"/>
        </w:rPr>
        <w:t>（三）异议</w:t>
      </w:r>
      <w:bookmarkEnd w:id="142"/>
      <w:bookmarkEnd w:id="143"/>
      <w:bookmarkEnd w:id="144"/>
      <w:bookmarkEnd w:id="145"/>
    </w:p>
    <w:p w14:paraId="103D7F6A">
      <w:pPr>
        <w:keepNext w:val="0"/>
        <w:keepLines w:val="0"/>
        <w:pageBreakBefore w:val="0"/>
        <w:widowControl w:val="0"/>
        <w:suppressLineNumbers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519FA1E9">
      <w:pPr>
        <w:keepNext w:val="0"/>
        <w:keepLines w:val="0"/>
        <w:pageBreakBefore w:val="0"/>
        <w:widowControl w:val="0"/>
        <w:suppressLineNumbers w:val="0"/>
        <w:kinsoku/>
        <w:wordWrap/>
        <w:overflowPunct w:val="0"/>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4160" w:firstLineChars="13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adjustRightInd/>
        <w:snapToGrid/>
        <w:spacing w:line="560" w:lineRule="exact"/>
        <w:ind w:firstLine="4160" w:firstLineChars="1300"/>
        <w:jc w:val="both"/>
        <w:textAlignment w:val="auto"/>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2025年06月30日</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3496D7D-D02A-452E-8799-61F06FEC229F}"/>
  </w:font>
  <w:font w:name="黑体">
    <w:panose1 w:val="02010609060101010101"/>
    <w:charset w:val="86"/>
    <w:family w:val="auto"/>
    <w:pitch w:val="default"/>
    <w:sig w:usb0="800002BF" w:usb1="38CF7CFA" w:usb2="00000016" w:usb3="00000000" w:csb0="00040001" w:csb1="00000000"/>
    <w:embedRegular r:id="rId2" w:fontKey="{EF6DCEEB-04D3-488B-A775-6E9165A7D1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3" w:fontKey="{C95CFB99-3DE2-4C6C-B272-ADD197D51926}"/>
  </w:font>
  <w:font w:name="微软雅黑">
    <w:panose1 w:val="020B0503020204020204"/>
    <w:charset w:val="86"/>
    <w:family w:val="auto"/>
    <w:pitch w:val="default"/>
    <w:sig w:usb0="80000287" w:usb1="2ACF3C50" w:usb2="00000016" w:usb3="00000000" w:csb0="0004001F" w:csb1="00000000"/>
    <w:embedRegular r:id="rId4" w:fontKey="{8536E246-4C27-4EAB-9165-AF7BE2E3894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CB6297"/>
    <w:rsid w:val="01251650"/>
    <w:rsid w:val="01A67659"/>
    <w:rsid w:val="023E2922"/>
    <w:rsid w:val="026A1189"/>
    <w:rsid w:val="04683B1B"/>
    <w:rsid w:val="051379D8"/>
    <w:rsid w:val="05814B03"/>
    <w:rsid w:val="05BE40FB"/>
    <w:rsid w:val="06141C07"/>
    <w:rsid w:val="076A5F83"/>
    <w:rsid w:val="07720B9B"/>
    <w:rsid w:val="08D00E36"/>
    <w:rsid w:val="0AA3355A"/>
    <w:rsid w:val="0B0A4D8C"/>
    <w:rsid w:val="0CAF4DC4"/>
    <w:rsid w:val="102F1EF5"/>
    <w:rsid w:val="106F0166"/>
    <w:rsid w:val="114161E7"/>
    <w:rsid w:val="130628D8"/>
    <w:rsid w:val="14F74BCE"/>
    <w:rsid w:val="14F90946"/>
    <w:rsid w:val="14FD19B0"/>
    <w:rsid w:val="15350822"/>
    <w:rsid w:val="17725CE9"/>
    <w:rsid w:val="19B65298"/>
    <w:rsid w:val="19BF0744"/>
    <w:rsid w:val="19BF485E"/>
    <w:rsid w:val="19EF056A"/>
    <w:rsid w:val="1AEC4493"/>
    <w:rsid w:val="1B177D78"/>
    <w:rsid w:val="1DA8115B"/>
    <w:rsid w:val="1DB27CC5"/>
    <w:rsid w:val="1DD30B53"/>
    <w:rsid w:val="1E1E31CB"/>
    <w:rsid w:val="1E34479D"/>
    <w:rsid w:val="207E073E"/>
    <w:rsid w:val="21834158"/>
    <w:rsid w:val="220426D8"/>
    <w:rsid w:val="22F5715A"/>
    <w:rsid w:val="241430A6"/>
    <w:rsid w:val="2452597D"/>
    <w:rsid w:val="257B5469"/>
    <w:rsid w:val="257B685F"/>
    <w:rsid w:val="27CC3C98"/>
    <w:rsid w:val="297D7484"/>
    <w:rsid w:val="2A2E0C3A"/>
    <w:rsid w:val="2A4B3DED"/>
    <w:rsid w:val="2BF61145"/>
    <w:rsid w:val="2BF72AD0"/>
    <w:rsid w:val="2D331C6F"/>
    <w:rsid w:val="2DE05E9B"/>
    <w:rsid w:val="2E033918"/>
    <w:rsid w:val="2EA4771D"/>
    <w:rsid w:val="31832E12"/>
    <w:rsid w:val="32A1627D"/>
    <w:rsid w:val="33260700"/>
    <w:rsid w:val="333C7F24"/>
    <w:rsid w:val="333D3C9C"/>
    <w:rsid w:val="339B5162"/>
    <w:rsid w:val="34DF16EF"/>
    <w:rsid w:val="354E1250"/>
    <w:rsid w:val="358E6037"/>
    <w:rsid w:val="37991DE9"/>
    <w:rsid w:val="38C369F1"/>
    <w:rsid w:val="39974106"/>
    <w:rsid w:val="3A3A65D2"/>
    <w:rsid w:val="3A561988"/>
    <w:rsid w:val="3BFF184D"/>
    <w:rsid w:val="3CB63F34"/>
    <w:rsid w:val="3CEB6517"/>
    <w:rsid w:val="3CFB6595"/>
    <w:rsid w:val="3CFD6BB7"/>
    <w:rsid w:val="3D34475C"/>
    <w:rsid w:val="3E3C01FF"/>
    <w:rsid w:val="3F2D1BEF"/>
    <w:rsid w:val="3FE9293F"/>
    <w:rsid w:val="405A4224"/>
    <w:rsid w:val="427A5715"/>
    <w:rsid w:val="433C5D1E"/>
    <w:rsid w:val="44093E52"/>
    <w:rsid w:val="44107006"/>
    <w:rsid w:val="44920CB0"/>
    <w:rsid w:val="45726E52"/>
    <w:rsid w:val="45A00D58"/>
    <w:rsid w:val="460F14C8"/>
    <w:rsid w:val="46637C62"/>
    <w:rsid w:val="46933C70"/>
    <w:rsid w:val="485F64AC"/>
    <w:rsid w:val="4B896DF6"/>
    <w:rsid w:val="4CB27A82"/>
    <w:rsid w:val="4CD03E45"/>
    <w:rsid w:val="4D66647C"/>
    <w:rsid w:val="4E6B74B7"/>
    <w:rsid w:val="4F18763F"/>
    <w:rsid w:val="4F2D1733"/>
    <w:rsid w:val="500261D8"/>
    <w:rsid w:val="50610B72"/>
    <w:rsid w:val="509B2FD7"/>
    <w:rsid w:val="51D376E3"/>
    <w:rsid w:val="523676EA"/>
    <w:rsid w:val="524F1A19"/>
    <w:rsid w:val="54EB7CA8"/>
    <w:rsid w:val="55EF7BB3"/>
    <w:rsid w:val="55F20E2B"/>
    <w:rsid w:val="56737851"/>
    <w:rsid w:val="5680683F"/>
    <w:rsid w:val="56F815DC"/>
    <w:rsid w:val="57711FE2"/>
    <w:rsid w:val="59907EED"/>
    <w:rsid w:val="5A715E56"/>
    <w:rsid w:val="5B97061C"/>
    <w:rsid w:val="5C02145B"/>
    <w:rsid w:val="5C2B04AE"/>
    <w:rsid w:val="5C594DF3"/>
    <w:rsid w:val="5D042FB1"/>
    <w:rsid w:val="5DA87DE0"/>
    <w:rsid w:val="5DCA09A3"/>
    <w:rsid w:val="5E8D407E"/>
    <w:rsid w:val="5F213A10"/>
    <w:rsid w:val="5F8C5DB5"/>
    <w:rsid w:val="602C2F4B"/>
    <w:rsid w:val="60675D3C"/>
    <w:rsid w:val="6077565B"/>
    <w:rsid w:val="60C97FB7"/>
    <w:rsid w:val="61137C66"/>
    <w:rsid w:val="61483E9A"/>
    <w:rsid w:val="61D92AF5"/>
    <w:rsid w:val="6483301F"/>
    <w:rsid w:val="64B22605"/>
    <w:rsid w:val="661E50E3"/>
    <w:rsid w:val="66452F0C"/>
    <w:rsid w:val="6667362D"/>
    <w:rsid w:val="671D4BFD"/>
    <w:rsid w:val="672C3830"/>
    <w:rsid w:val="68365066"/>
    <w:rsid w:val="68FE0F77"/>
    <w:rsid w:val="69B729ED"/>
    <w:rsid w:val="69E314DA"/>
    <w:rsid w:val="69F446AA"/>
    <w:rsid w:val="6A445335"/>
    <w:rsid w:val="6BD87931"/>
    <w:rsid w:val="6C2347F8"/>
    <w:rsid w:val="6CCD1611"/>
    <w:rsid w:val="6CE26D5D"/>
    <w:rsid w:val="6DB30807"/>
    <w:rsid w:val="6E880895"/>
    <w:rsid w:val="6F4D07E7"/>
    <w:rsid w:val="7015517E"/>
    <w:rsid w:val="703561B0"/>
    <w:rsid w:val="70626755"/>
    <w:rsid w:val="707458D8"/>
    <w:rsid w:val="72E3289C"/>
    <w:rsid w:val="736305DA"/>
    <w:rsid w:val="74F87447"/>
    <w:rsid w:val="7530098F"/>
    <w:rsid w:val="76987E92"/>
    <w:rsid w:val="7C6E0553"/>
    <w:rsid w:val="7D8E0949"/>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 w:type="paragraph" w:customStyle="1" w:styleId="27">
    <w:name w:val="Table Text"/>
    <w:basedOn w:val="1"/>
    <w:semiHidden/>
    <w:qFormat/>
    <w:uiPriority w:val="0"/>
    <w:rPr>
      <w:rFonts w:ascii="宋体" w:hAnsi="宋体" w:eastAsia="宋体" w:cs="宋体"/>
      <w:sz w:val="24"/>
      <w:szCs w:val="24"/>
      <w:lang w:val="en-US" w:eastAsia="en-US" w:bidi="ar-SA"/>
    </w:rPr>
  </w:style>
  <w:style w:type="table" w:customStyle="1" w:styleId="28">
    <w:name w:val="Table Normal"/>
    <w:unhideWhenUsed/>
    <w:qFormat/>
    <w:uiPriority w:val="0"/>
    <w:tblPr>
      <w:tblCellMar>
        <w:top w:w="0" w:type="dxa"/>
        <w:left w:w="0" w:type="dxa"/>
        <w:bottom w:w="0" w:type="dxa"/>
        <w:right w:w="0" w:type="dxa"/>
      </w:tblCellMar>
    </w:tbl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168</Words>
  <Characters>198</Characters>
  <Lines>0</Lines>
  <Paragraphs>0</Paragraphs>
  <TotalTime>16</TotalTime>
  <ScaleCrop>false</ScaleCrop>
  <LinksUpToDate>false</LinksUpToDate>
  <CharactersWithSpaces>198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冰火</cp:lastModifiedBy>
  <cp:lastPrinted>2025-06-30T02:35:00Z</cp:lastPrinted>
  <dcterms:modified xsi:type="dcterms:W3CDTF">2025-07-02T08:03:50Z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7B45DB9A7B6440F18A01E498AC8328F5_13</vt:lpwstr>
  </property>
  <property fmtid="{D5CDD505-2E9C-101B-9397-08002B2CF9AE}" pid="4" name="KSOTemplateDocerSaveRecord">
    <vt:lpwstr>eyJoZGlkIjoiMTU4ZWQzZDFhZmYzYTBiMWNlZmM2NzBiNzM0NTBkZjIiLCJ1c2VySWQiOiI2MDk2NjE4MDIifQ==</vt:lpwstr>
  </property>
</Properties>
</file>