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EE4B6">
      <w:pPr>
        <w:jc w:val="center"/>
        <w:rPr>
          <w:rFonts w:hint="eastAsia" w:ascii="方正仿宋_GBK" w:hAnsi="方正仿宋_GBK" w:eastAsia="方正公文小标宋" w:cs="方正仿宋_GBK"/>
          <w:b w:val="0"/>
          <w:bCs w:val="0"/>
          <w:color w:val="auto"/>
          <w:sz w:val="44"/>
          <w:szCs w:val="44"/>
          <w:highlight w:val="none"/>
        </w:rPr>
      </w:pPr>
      <w:bookmarkStart w:id="0" w:name="_GoBack"/>
      <w:r>
        <w:rPr>
          <w:rFonts w:hint="eastAsia" w:ascii="方正仿宋_GBK" w:hAnsi="方正仿宋_GBK" w:eastAsia="方正公文小标宋" w:cs="方正仿宋_GBK"/>
          <w:b w:val="0"/>
          <w:bCs w:val="0"/>
          <w:color w:val="auto"/>
          <w:sz w:val="44"/>
          <w:szCs w:val="44"/>
          <w:highlight w:val="none"/>
        </w:rPr>
        <w:t>陕西锌业有限公司</w:t>
      </w:r>
    </w:p>
    <w:p w14:paraId="4BC49AD2">
      <w:pPr>
        <w:jc w:val="center"/>
        <w:rPr>
          <w:rFonts w:hint="eastAsia" w:ascii="方正仿宋_GBK" w:hAnsi="方正仿宋_GBK" w:eastAsia="方正公文小标宋" w:cs="方正仿宋_GBK"/>
          <w:b w:val="0"/>
          <w:bCs w:val="0"/>
          <w:color w:val="auto"/>
          <w:sz w:val="44"/>
          <w:szCs w:val="44"/>
          <w:highlight w:val="none"/>
        </w:rPr>
      </w:pPr>
      <w:r>
        <w:rPr>
          <w:rFonts w:hint="eastAsia" w:ascii="方正仿宋_GBK" w:hAnsi="方正仿宋_GBK" w:eastAsia="方正公文小标宋" w:cs="方正仿宋_GBK"/>
          <w:b w:val="0"/>
          <w:bCs w:val="0"/>
          <w:color w:val="auto"/>
          <w:sz w:val="44"/>
          <w:szCs w:val="44"/>
          <w:highlight w:val="none"/>
        </w:rPr>
        <w:t>灭火器维修保养项目询比采购文件</w:t>
      </w:r>
    </w:p>
    <w:p w14:paraId="6EDE4768">
      <w:pPr>
        <w:ind w:firstLine="640" w:firstLineChars="200"/>
        <w:jc w:val="center"/>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项目编号XB20250703-02</w:t>
      </w:r>
    </w:p>
    <w:p w14:paraId="70E718F7">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陕西锌业有限公司为确保消防安全，提高灭火器的有效性和可靠性，拟对公司所有灭火器进行维修保养。按照公司有关制度规定，拟通过询比方式确定维修单位，欢迎具备相应资质及能力的单位参与该项目询比采购，具体内容如下:</w:t>
      </w:r>
    </w:p>
    <w:p w14:paraId="14DE20DF">
      <w:pPr>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一、采购项目概况</w:t>
      </w:r>
    </w:p>
    <w:p w14:paraId="07325F6E">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(一)采购人:陕西锌业有限公司</w:t>
      </w:r>
    </w:p>
    <w:p w14:paraId="266CB39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(二)采购项目名称:陕西锌业有限公司灭火器维修保养项目</w:t>
      </w:r>
    </w:p>
    <w:p w14:paraId="158C06D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(三)项目实施地点:陕西锌业有限公司各办公地点及生产车间</w:t>
      </w:r>
    </w:p>
    <w:p w14:paraId="6379E6A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(四)采购范围:包括但不限于灭火器的检查、维修、保养、更换零部件等。</w:t>
      </w:r>
    </w:p>
    <w:p w14:paraId="61D5844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(五)工期:本项目合同工期为合同签订后一个月。</w:t>
      </w:r>
    </w:p>
    <w:p w14:paraId="103EBD3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(六)服务质量要求:</w:t>
      </w:r>
    </w:p>
    <w:p w14:paraId="655C252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本合同项下的供应材料均应符合现行国家最新标准、行业标准及技术要求。</w:t>
      </w:r>
    </w:p>
    <w:p w14:paraId="1248732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如发生质量问题，供货方包退、包换，确保货物质量合格率100%,供方交付货物的同时应提供质量检验部门的产品材质证明书(采购方有权对所采购的材料进行进一步检测)，所供货物必须有合格证、说明书、铭牌标识完整清楚，否则按不合格品对待。具体以《采购需求一览表》标明的规格型号、技术参数为准，材质证明书内容要和现场进料单及</w:t>
      </w:r>
    </w:p>
    <w:p w14:paraId="5D92D818">
      <w:pPr>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标牌所标明内容相对应。</w:t>
      </w:r>
      <w:r>
        <w:rPr>
          <w:rFonts w:hint="eastAsia" w:ascii="仿宋" w:hAnsi="仿宋" w:eastAsia="仿宋" w:cs="仿宋"/>
          <w:color w:val="auto"/>
          <w:sz w:val="32"/>
          <w:szCs w:val="32"/>
          <w:highlight w:val="none"/>
          <w:lang w:val="en-US" w:eastAsia="zh-CN"/>
        </w:rPr>
        <w:t>同时依据《灭火器维修》（GA95-2015）要求完成维修保养。</w:t>
      </w:r>
    </w:p>
    <w:p w14:paraId="65B58FBA">
      <w:pPr>
        <w:numPr>
          <w:ilvl w:val="0"/>
          <w:numId w:val="1"/>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供货方的产品应符合国家</w:t>
      </w:r>
      <w:r>
        <w:rPr>
          <w:rFonts w:hint="eastAsia" w:ascii="仿宋" w:hAnsi="仿宋" w:eastAsia="仿宋" w:cs="仿宋"/>
          <w:color w:val="auto"/>
          <w:sz w:val="32"/>
          <w:szCs w:val="32"/>
          <w:highlight w:val="none"/>
        </w:rPr>
        <w:t>有关</w:t>
      </w:r>
      <w:r>
        <w:rPr>
          <w:rFonts w:hint="eastAsia" w:ascii="仿宋" w:hAnsi="仿宋" w:eastAsia="仿宋" w:cs="仿宋"/>
          <w:color w:val="auto"/>
          <w:sz w:val="32"/>
          <w:szCs w:val="32"/>
          <w:highlight w:val="none"/>
          <w:lang w:val="en-US" w:eastAsia="zh-CN"/>
        </w:rPr>
        <w:t>消防</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环保法律法规的规定以及三标一体。如因质量问题给采购方生产造成损失的，供货方除承担采购方全部损失外，采购方有权立即终止已签订的采购合同，并视情况将该供应商拉入黑名单。</w:t>
      </w:r>
    </w:p>
    <w:p w14:paraId="0AACEC7B">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(七)质保期:本合同项下</w:t>
      </w:r>
      <w:r>
        <w:rPr>
          <w:rFonts w:hint="eastAsia" w:ascii="仿宋" w:hAnsi="仿宋" w:eastAsia="仿宋" w:cs="仿宋"/>
          <w:color w:val="auto"/>
          <w:sz w:val="32"/>
          <w:szCs w:val="32"/>
          <w:highlight w:val="none"/>
          <w:lang w:val="en-US" w:eastAsia="zh-CN"/>
        </w:rPr>
        <w:t>产品</w:t>
      </w:r>
      <w:r>
        <w:rPr>
          <w:rFonts w:hint="eastAsia" w:ascii="仿宋" w:hAnsi="仿宋" w:eastAsia="仿宋" w:cs="仿宋"/>
          <w:color w:val="auto"/>
          <w:sz w:val="32"/>
          <w:szCs w:val="32"/>
          <w:highlight w:val="none"/>
        </w:rPr>
        <w:t>的质量保证期为壹年，自采购人验收合格之日起计算;</w:t>
      </w:r>
    </w:p>
    <w:p w14:paraId="1D00E2C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(八)付款方式:</w:t>
      </w:r>
    </w:p>
    <w:p w14:paraId="77F5C0D9">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项目完工采购方验收合格后，供应商开具增值税专用发票，</w:t>
      </w:r>
      <w:r>
        <w:rPr>
          <w:rFonts w:hint="eastAsia" w:ascii="仿宋" w:hAnsi="仿宋" w:eastAsia="仿宋" w:cs="仿宋"/>
          <w:color w:val="auto"/>
          <w:sz w:val="32"/>
          <w:szCs w:val="32"/>
          <w:highlight w:val="none"/>
          <w:lang w:val="en-US" w:eastAsia="zh-CN"/>
        </w:rPr>
        <w:t>确认</w:t>
      </w:r>
      <w:r>
        <w:rPr>
          <w:rFonts w:hint="eastAsia" w:ascii="仿宋" w:hAnsi="仿宋" w:eastAsia="仿宋" w:cs="仿宋"/>
          <w:color w:val="auto"/>
          <w:sz w:val="32"/>
          <w:szCs w:val="32"/>
          <w:highlight w:val="none"/>
        </w:rPr>
        <w:t>无质量问题，付清全部费用。</w:t>
      </w:r>
    </w:p>
    <w:p w14:paraId="69D225F7">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(九)供应商资格和履约能力要求:</w:t>
      </w:r>
    </w:p>
    <w:p w14:paraId="4408D3C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1.资质要求:</w:t>
      </w:r>
    </w:p>
    <w:p w14:paraId="15A6BE5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具有独立法人资格，持有有效的营业执照。</w:t>
      </w:r>
    </w:p>
    <w:p w14:paraId="3A51F909">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2</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具有</w:t>
      </w:r>
      <w:r>
        <w:rPr>
          <w:rFonts w:hint="eastAsia" w:ascii="仿宋" w:hAnsi="仿宋" w:eastAsia="仿宋" w:cs="仿宋"/>
          <w:color w:val="auto"/>
          <w:sz w:val="32"/>
          <w:szCs w:val="32"/>
          <w:highlight w:val="none"/>
          <w:lang w:val="en-US" w:eastAsia="zh-CN"/>
        </w:rPr>
        <w:t>陕西省灭火器维修确认检验报告，维修单位需提供灭火器维修人员证书（4人以上）</w:t>
      </w:r>
      <w:r>
        <w:rPr>
          <w:rFonts w:hint="eastAsia" w:ascii="仿宋" w:hAnsi="仿宋" w:eastAsia="仿宋" w:cs="仿宋"/>
          <w:color w:val="auto"/>
          <w:sz w:val="32"/>
          <w:szCs w:val="32"/>
          <w:highlight w:val="none"/>
        </w:rPr>
        <w:t>。</w:t>
      </w:r>
    </w:p>
    <w:p w14:paraId="2DA6921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2.信用要求:</w:t>
      </w:r>
    </w:p>
    <w:p w14:paraId="180706D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 具有良好的商业信誉和健全的财务会计制度。</w:t>
      </w:r>
    </w:p>
    <w:p w14:paraId="0940429B">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 具有完善的售后服务体系，能够及时响应客户需求(不超过24小时)。</w:t>
      </w:r>
    </w:p>
    <w:p w14:paraId="7B1321F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3.业绩要求:</w:t>
      </w:r>
    </w:p>
    <w:p w14:paraId="38BE3248">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供应商具有丰富的灭火器维修保养经验，</w:t>
      </w:r>
      <w:r>
        <w:rPr>
          <w:rFonts w:hint="eastAsia" w:ascii="仿宋" w:hAnsi="仿宋" w:eastAsia="仿宋" w:cs="仿宋"/>
          <w:color w:val="auto"/>
          <w:sz w:val="32"/>
          <w:szCs w:val="32"/>
          <w:highlight w:val="none"/>
        </w:rPr>
        <w:t>自202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月至今具有</w:t>
      </w:r>
      <w:r>
        <w:rPr>
          <w:rFonts w:hint="eastAsia" w:ascii="仿宋" w:hAnsi="仿宋" w:eastAsia="仿宋" w:cs="仿宋"/>
          <w:color w:val="auto"/>
          <w:sz w:val="32"/>
          <w:szCs w:val="32"/>
          <w:highlight w:val="none"/>
          <w:lang w:val="en-US" w:eastAsia="zh-CN"/>
        </w:rPr>
        <w:t>国企、事业单位</w:t>
      </w:r>
      <w:r>
        <w:rPr>
          <w:rFonts w:hint="eastAsia" w:ascii="仿宋" w:hAnsi="仿宋" w:eastAsia="仿宋" w:cs="仿宋"/>
          <w:color w:val="auto"/>
          <w:sz w:val="32"/>
          <w:szCs w:val="32"/>
          <w:highlight w:val="none"/>
        </w:rPr>
        <w:t>类似业绩</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val="en-US" w:eastAsia="zh-CN"/>
        </w:rPr>
        <w:t>份以上</w:t>
      </w:r>
      <w:r>
        <w:rPr>
          <w:rFonts w:hint="eastAsia" w:ascii="仿宋" w:hAnsi="仿宋" w:eastAsia="仿宋" w:cs="仿宋"/>
          <w:color w:val="auto"/>
          <w:sz w:val="32"/>
          <w:szCs w:val="32"/>
          <w:highlight w:val="none"/>
        </w:rPr>
        <w:t>(提供合同复印件，时间以合同签订时间为准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所提供业绩不符合询比文件要求的视为无效报价</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w:t>
      </w:r>
    </w:p>
    <w:p w14:paraId="080C93A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4.联合体相应:本项目不接受联合体响应。</w:t>
      </w:r>
    </w:p>
    <w:p w14:paraId="5C0E5442">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5.其他要求:</w:t>
      </w:r>
    </w:p>
    <w:p w14:paraId="110D338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供应商不得存在下列情形之一:</w:t>
      </w:r>
    </w:p>
    <w:p w14:paraId="6750CD67">
      <w:pPr>
        <w:numPr>
          <w:ilvl w:val="0"/>
          <w:numId w:val="2"/>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与采购人存在利害关系可能影响询比采购公正性;</w:t>
      </w:r>
    </w:p>
    <w:p w14:paraId="2E58756D">
      <w:pPr>
        <w:numPr>
          <w:ilvl w:val="0"/>
          <w:numId w:val="2"/>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法定代表人(单位负责人)为同一人或者存在控股、管理关系的不同法人或其他组织同时参加询比采购;</w:t>
      </w:r>
    </w:p>
    <w:p w14:paraId="1ED3EFF8">
      <w:pPr>
        <w:numPr>
          <w:ilvl w:val="0"/>
          <w:numId w:val="2"/>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被依法暂停或者取消询比采购资格;</w:t>
      </w:r>
    </w:p>
    <w:p w14:paraId="34C5DCF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(4)被责令停产停业、暂扣或者吊销许可证、暂扣或者吊销执照;</w:t>
      </w:r>
    </w:p>
    <w:p w14:paraId="5A720B8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(5)进入清算程序，或被宣告破产，或其他丧失履约能力的情形;</w:t>
      </w:r>
    </w:p>
    <w:p w14:paraId="3FF439FE">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(6)在最近三年内发生重大产品质量问题;</w:t>
      </w:r>
    </w:p>
    <w:p w14:paraId="0E1A5801">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(7)近三年内无重大安全事故记录</w:t>
      </w:r>
      <w:r>
        <w:rPr>
          <w:rFonts w:hint="eastAsia" w:ascii="仿宋" w:hAnsi="仿宋" w:eastAsia="仿宋" w:cs="仿宋"/>
          <w:color w:val="auto"/>
          <w:sz w:val="32"/>
          <w:szCs w:val="32"/>
          <w:highlight w:val="none"/>
          <w:lang w:eastAsia="zh-CN"/>
        </w:rPr>
        <w:t>；</w:t>
      </w:r>
    </w:p>
    <w:p w14:paraId="1AE9127B">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(8)法律法规规定的其他情形</w:t>
      </w:r>
      <w:r>
        <w:rPr>
          <w:rFonts w:hint="eastAsia" w:ascii="仿宋" w:hAnsi="仿宋" w:eastAsia="仿宋" w:cs="仿宋"/>
          <w:color w:val="auto"/>
          <w:sz w:val="32"/>
          <w:szCs w:val="32"/>
          <w:highlight w:val="none"/>
          <w:lang w:eastAsia="zh-CN"/>
        </w:rPr>
        <w:t>；</w:t>
      </w:r>
    </w:p>
    <w:p w14:paraId="17E9E906">
      <w:pPr>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二、询比采购文件的获取</w:t>
      </w:r>
    </w:p>
    <w:p w14:paraId="500550E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询比采购文件已在陕西锌业有限公司网络询比采购平台(www.sxxyjjpt.com)发布，符合条件的供应商可自行下载采购文件。</w:t>
      </w:r>
    </w:p>
    <w:p w14:paraId="233F06F4">
      <w:pPr>
        <w:numPr>
          <w:ilvl w:val="0"/>
          <w:numId w:val="0"/>
        </w:numPr>
        <w:ind w:firstLine="643" w:firstLineChars="200"/>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lang w:val="en-US" w:eastAsia="zh-CN"/>
        </w:rPr>
        <w:t>三、</w:t>
      </w:r>
      <w:r>
        <w:rPr>
          <w:rFonts w:hint="eastAsia" w:ascii="仿宋" w:hAnsi="仿宋" w:eastAsia="仿宋" w:cs="仿宋"/>
          <w:b/>
          <w:bCs/>
          <w:color w:val="auto"/>
          <w:sz w:val="32"/>
          <w:szCs w:val="32"/>
          <w:highlight w:val="none"/>
        </w:rPr>
        <w:t>供应商响应</w:t>
      </w:r>
    </w:p>
    <w:p w14:paraId="0875EB90">
      <w:pPr>
        <w:numPr>
          <w:ilvl w:val="0"/>
          <w:numId w:val="0"/>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(一)响应报价</w:t>
      </w:r>
    </w:p>
    <w:p w14:paraId="6EF2356D">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1.供应商应按“响应文件格式”要求在响应函中进行报价并填写响应文件的开启一览表和分项报价表。</w:t>
      </w:r>
    </w:p>
    <w:p w14:paraId="4D99781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2.报价包括人工费、材料费、</w:t>
      </w:r>
      <w:r>
        <w:rPr>
          <w:rFonts w:hint="eastAsia" w:ascii="仿宋" w:hAnsi="仿宋" w:eastAsia="仿宋" w:cs="仿宋"/>
          <w:color w:val="auto"/>
          <w:sz w:val="32"/>
          <w:szCs w:val="32"/>
          <w:highlight w:val="none"/>
          <w:lang w:val="en-US" w:eastAsia="zh-CN"/>
        </w:rPr>
        <w:t>机械</w:t>
      </w:r>
      <w:r>
        <w:rPr>
          <w:rFonts w:hint="eastAsia" w:ascii="仿宋" w:hAnsi="仿宋" w:eastAsia="仿宋" w:cs="仿宋"/>
          <w:color w:val="auto"/>
          <w:sz w:val="32"/>
          <w:szCs w:val="32"/>
          <w:highlight w:val="none"/>
        </w:rPr>
        <w:t>费、管理费、利润、税费等以及质量保证期内的售后</w:t>
      </w:r>
      <w:r>
        <w:rPr>
          <w:rFonts w:hint="eastAsia" w:ascii="仿宋" w:hAnsi="仿宋" w:eastAsia="仿宋" w:cs="仿宋"/>
          <w:color w:val="auto"/>
          <w:sz w:val="32"/>
          <w:szCs w:val="32"/>
          <w:highlight w:val="none"/>
          <w:lang w:val="en-US" w:eastAsia="zh-CN"/>
        </w:rPr>
        <w:t>服务费等</w:t>
      </w:r>
      <w:r>
        <w:rPr>
          <w:rFonts w:hint="eastAsia" w:ascii="仿宋" w:hAnsi="仿宋" w:eastAsia="仿宋" w:cs="仿宋"/>
          <w:color w:val="auto"/>
          <w:sz w:val="32"/>
          <w:szCs w:val="32"/>
          <w:highlight w:val="none"/>
        </w:rPr>
        <w:t>费用</w:t>
      </w:r>
      <w:r>
        <w:rPr>
          <w:rFonts w:hint="eastAsia" w:ascii="仿宋" w:hAnsi="仿宋" w:eastAsia="仿宋" w:cs="仿宋"/>
          <w:color w:val="auto"/>
          <w:sz w:val="32"/>
          <w:szCs w:val="32"/>
          <w:highlight w:val="none"/>
          <w:lang w:val="en-US" w:eastAsia="zh-CN"/>
        </w:rPr>
        <w:t>在内各项应有费用</w:t>
      </w:r>
      <w:r>
        <w:rPr>
          <w:rFonts w:hint="eastAsia" w:ascii="仿宋" w:hAnsi="仿宋" w:eastAsia="仿宋" w:cs="仿宋"/>
          <w:color w:val="auto"/>
          <w:sz w:val="32"/>
          <w:szCs w:val="32"/>
          <w:highlight w:val="none"/>
        </w:rPr>
        <w:t>。</w:t>
      </w:r>
    </w:p>
    <w:p w14:paraId="5929686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3.供应商在响应文件递交截止时间前修改响应函中的响应报价总额，应同时修改响应文件“响应文件的开启一览表”、“分项报价表”中的相应报价。此修改须符合本章第一条第二项第三款的有关要求。</w:t>
      </w:r>
    </w:p>
    <w:p w14:paraId="5926495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4.响应报价为各分项报价金额之和，响应报价与分项报价的合价不一致的，应以各分项合价累计数为准，修正响应报价。</w:t>
      </w:r>
    </w:p>
    <w:p w14:paraId="1C5CB71B">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5.成交供应商的响应报价是成交、签订合同及合同执行过程中的依据，不得进行实质性变动。</w:t>
      </w:r>
    </w:p>
    <w:p w14:paraId="7FBE5E0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(二)响应有效期</w:t>
      </w:r>
    </w:p>
    <w:p w14:paraId="7CDFEBD4">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1.响应有效期从提交响应文件截止之日起算</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rPr>
        <w:t>天。</w:t>
      </w:r>
    </w:p>
    <w:p w14:paraId="5E5CA922">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2.在响应有效期内，供应商撤销响应文件的，应承担询比采购文件和法律规定的责任。</w:t>
      </w:r>
    </w:p>
    <w:p w14:paraId="3568437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(三)响应保证金</w:t>
      </w:r>
    </w:p>
    <w:p w14:paraId="315F71E4">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1.供应商在递交响应文件的同时，应按规定的响应保证</w:t>
      </w:r>
    </w:p>
    <w:p w14:paraId="52078AEC">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金格式递交响应保证金</w:t>
      </w:r>
      <w:r>
        <w:rPr>
          <w:rFonts w:hint="eastAsia" w:ascii="仿宋" w:hAnsi="仿宋" w:eastAsia="仿宋" w:cs="仿宋"/>
          <w:color w:val="auto"/>
          <w:sz w:val="32"/>
          <w:szCs w:val="32"/>
          <w:highlight w:val="none"/>
        </w:rPr>
        <w:tab/>
      </w:r>
      <w:r>
        <w:rPr>
          <w:rFonts w:hint="eastAsia" w:ascii="仿宋" w:hAnsi="仿宋" w:eastAsia="仿宋" w:cs="仿宋"/>
          <w:color w:val="auto"/>
          <w:sz w:val="32"/>
          <w:szCs w:val="32"/>
          <w:highlight w:val="none"/>
        </w:rPr>
        <w:t>元，并作为其响应文件的组成部</w:t>
      </w:r>
      <w:r>
        <w:rPr>
          <w:rFonts w:hint="eastAsia" w:ascii="仿宋" w:hAnsi="仿宋" w:eastAsia="仿宋" w:cs="仿宋"/>
          <w:color w:val="auto"/>
          <w:sz w:val="32"/>
          <w:szCs w:val="32"/>
          <w:highlight w:val="none"/>
        </w:rPr>
        <w:tab/>
      </w:r>
    </w:p>
    <w:p w14:paraId="46581349">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分。</w:t>
      </w:r>
    </w:p>
    <w:p w14:paraId="4B43A20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保证金支付账户如下:</w:t>
      </w:r>
    </w:p>
    <w:p w14:paraId="7225796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收款人:陕西锌业有限公司</w:t>
      </w:r>
    </w:p>
    <w:p w14:paraId="4000994F">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账号:26805701040010332</w:t>
      </w:r>
    </w:p>
    <w:p w14:paraId="168D11C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开户行:中国农业银行商洛商州区支行</w:t>
      </w:r>
    </w:p>
    <w:p w14:paraId="3387AE4B">
      <w:pPr>
        <w:numPr>
          <w:ilvl w:val="0"/>
          <w:numId w:val="3"/>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响应保证金的形式:转账、保函、支票、签订保证金协议等任何一种。供应商以现金或者支票形式提交的响应保证金，应当从其基本账户转出并在响应文件中附上基本账户开户证明。</w:t>
      </w:r>
    </w:p>
    <w:p w14:paraId="17E1C05D">
      <w:pPr>
        <w:numPr>
          <w:ilvl w:val="0"/>
          <w:numId w:val="0"/>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3.响应保证金必须在响应文件递交截止时间前到达指定帐户。以保函形式缴纳保证金其保函须由银行或具有出具保函资格的单位出具，并于响应文件的开启现场递交保函原件，响应文件中附保函复印件。</w:t>
      </w:r>
    </w:p>
    <w:p w14:paraId="78EAF33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4.响应保证金有效期与响应有效期一致。</w:t>
      </w:r>
    </w:p>
    <w:p w14:paraId="4B490DC9">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5.供应商不按前述要求提交响应保证金的，评审小组将否决其响应文件。</w:t>
      </w:r>
    </w:p>
    <w:p w14:paraId="6A09190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6.采购人最迟应当在与成交人签订合同后7日内，向未成交的供应商和成交人无息退还响应保证金。</w:t>
      </w:r>
    </w:p>
    <w:p w14:paraId="42975E17">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7.有下列情形之一的，响应保证金将不予退还:</w:t>
      </w:r>
    </w:p>
    <w:p w14:paraId="42CB0CD1">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(1)供应商在响应有效期内撤销响应文件;</w:t>
      </w:r>
    </w:p>
    <w:p w14:paraId="1210B029">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(2)成交人在收到成交通知书后，成交人放弃成交项目的，无正当理由不与采购人订立合同的，在签订合同时向采购人提出附加条件或者更改合同实质性内容的，或者拒不按照询比采购文件要求提交履约担保的。</w:t>
      </w:r>
    </w:p>
    <w:p w14:paraId="04A333B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(四)资格审查资料</w:t>
      </w:r>
    </w:p>
    <w:p w14:paraId="7A89E1B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供应商应按下列规定提供相关的证明材料，以证明其满足资质、财务、业绩、信誉要求。供应商提交相关证明材料时还应结合第三章“评审办法”的相关规定。</w:t>
      </w:r>
    </w:p>
    <w:p w14:paraId="4334CCD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1.“供应商基本情况表”应附供应商资格或者资质证书副本等材料的复印件，供应商为企业的，应提交营业执照复印件;供应商为依法允许经营的事业单位的，应提交事业单位法人证书和组织机构代码证的复印件。</w:t>
      </w:r>
    </w:p>
    <w:p w14:paraId="38B969A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2.“近年完成的</w:t>
      </w:r>
      <w:r>
        <w:rPr>
          <w:rFonts w:hint="eastAsia" w:ascii="仿宋" w:hAnsi="仿宋" w:eastAsia="仿宋" w:cs="仿宋"/>
          <w:color w:val="auto"/>
          <w:sz w:val="32"/>
          <w:szCs w:val="32"/>
          <w:highlight w:val="none"/>
          <w:lang w:val="en-US" w:eastAsia="zh-CN"/>
        </w:rPr>
        <w:t>国企、事业单位</w:t>
      </w:r>
      <w:r>
        <w:rPr>
          <w:rFonts w:hint="eastAsia" w:ascii="仿宋" w:hAnsi="仿宋" w:eastAsia="仿宋" w:cs="仿宋"/>
          <w:color w:val="auto"/>
          <w:sz w:val="32"/>
          <w:szCs w:val="32"/>
          <w:highlight w:val="none"/>
        </w:rPr>
        <w:t>类似项目情况表”应附从202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月至今</w:t>
      </w:r>
      <w:r>
        <w:rPr>
          <w:rFonts w:hint="eastAsia" w:ascii="仿宋" w:hAnsi="仿宋" w:eastAsia="仿宋" w:cs="仿宋"/>
          <w:color w:val="auto"/>
          <w:sz w:val="32"/>
          <w:szCs w:val="32"/>
          <w:highlight w:val="none"/>
        </w:rPr>
        <w:t>的合同复印件，</w:t>
      </w:r>
      <w:r>
        <w:rPr>
          <w:rFonts w:hint="eastAsia" w:ascii="仿宋" w:hAnsi="仿宋" w:eastAsia="仿宋" w:cs="仿宋"/>
          <w:color w:val="auto"/>
          <w:sz w:val="32"/>
          <w:szCs w:val="32"/>
          <w:highlight w:val="none"/>
        </w:rPr>
        <w:t>时间以合同签订时间为准</w:t>
      </w:r>
      <w:r>
        <w:rPr>
          <w:rFonts w:hint="eastAsia" w:ascii="仿宋" w:hAnsi="仿宋" w:eastAsia="仿宋" w:cs="仿宋"/>
          <w:color w:val="auto"/>
          <w:sz w:val="32"/>
          <w:szCs w:val="32"/>
          <w:highlight w:val="none"/>
        </w:rPr>
        <w:t>。</w:t>
      </w:r>
    </w:p>
    <w:p w14:paraId="7049909D">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(五)响应文件的提交</w:t>
      </w:r>
    </w:p>
    <w:p w14:paraId="79BD5E0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响应文件提交截止时间:</w:t>
      </w:r>
      <w:r>
        <w:rPr>
          <w:rFonts w:hint="eastAsia" w:ascii="仿宋" w:hAnsi="仿宋" w:eastAsia="仿宋" w:cs="仿宋"/>
          <w:color w:val="auto"/>
          <w:sz w:val="32"/>
          <w:szCs w:val="32"/>
          <w:highlight w:val="none"/>
          <w:lang w:val="en-US" w:eastAsia="zh-CN"/>
        </w:rPr>
        <w:t xml:space="preserve">2025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 xml:space="preserve"> 7</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11</w:t>
      </w:r>
      <w:r>
        <w:rPr>
          <w:rFonts w:hint="eastAsia" w:ascii="仿宋" w:hAnsi="仿宋" w:eastAsia="仿宋" w:cs="仿宋"/>
          <w:color w:val="auto"/>
          <w:sz w:val="32"/>
          <w:szCs w:val="32"/>
          <w:highlight w:val="none"/>
        </w:rPr>
        <w:t>时;</w:t>
      </w:r>
    </w:p>
    <w:p w14:paraId="2E925C43">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2.提交方法:将响应文件密封后直接送达或邮寄至</w:t>
      </w:r>
      <w:r>
        <w:rPr>
          <w:rFonts w:hint="eastAsia" w:ascii="仿宋" w:hAnsi="仿宋" w:eastAsia="仿宋" w:cs="仿宋"/>
          <w:color w:val="auto"/>
          <w:sz w:val="32"/>
          <w:szCs w:val="32"/>
          <w:highlight w:val="none"/>
          <w:lang w:val="en-US" w:eastAsia="zh-CN"/>
        </w:rPr>
        <w:t>陕西锌业有限公司办公楼二楼招投标办公室</w:t>
      </w:r>
      <w:r>
        <w:rPr>
          <w:rFonts w:hint="eastAsia" w:ascii="仿宋" w:hAnsi="仿宋" w:eastAsia="仿宋" w:cs="仿宋"/>
          <w:color w:val="auto"/>
          <w:sz w:val="32"/>
          <w:szCs w:val="32"/>
          <w:highlight w:val="none"/>
        </w:rPr>
        <w:t>。</w:t>
      </w:r>
    </w:p>
    <w:p w14:paraId="548E5C2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商务</w:t>
      </w:r>
      <w:r>
        <w:rPr>
          <w:rFonts w:hint="eastAsia" w:ascii="仿宋" w:hAnsi="仿宋" w:eastAsia="仿宋" w:cs="仿宋"/>
          <w:color w:val="auto"/>
          <w:sz w:val="32"/>
          <w:szCs w:val="32"/>
          <w:highlight w:val="none"/>
        </w:rPr>
        <w:t>联系人</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李晶</w:t>
      </w:r>
      <w:r>
        <w:rPr>
          <w:rFonts w:hint="eastAsia" w:ascii="仿宋" w:hAnsi="仿宋" w:eastAsia="仿宋" w:cs="仿宋"/>
          <w:color w:val="auto"/>
          <w:sz w:val="32"/>
          <w:szCs w:val="32"/>
          <w:highlight w:val="none"/>
        </w:rPr>
        <w:tab/>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电话</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13909142887</w:t>
      </w:r>
      <w:r>
        <w:rPr>
          <w:rFonts w:hint="eastAsia" w:ascii="仿宋" w:hAnsi="仿宋" w:eastAsia="仿宋" w:cs="仿宋"/>
          <w:color w:val="auto"/>
          <w:sz w:val="32"/>
          <w:szCs w:val="32"/>
          <w:highlight w:val="none"/>
        </w:rPr>
        <w:tab/>
      </w:r>
    </w:p>
    <w:p w14:paraId="5CFBACEB">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邮寄地址:商洛市商州区沙河子镇陕西锌业有限公司</w:t>
      </w:r>
      <w:r>
        <w:rPr>
          <w:rFonts w:hint="eastAsia" w:ascii="仿宋" w:hAnsi="仿宋" w:eastAsia="仿宋" w:cs="仿宋"/>
          <w:color w:val="auto"/>
          <w:sz w:val="32"/>
          <w:szCs w:val="32"/>
          <w:highlight w:val="none"/>
          <w:lang w:val="en-US" w:eastAsia="zh-CN"/>
        </w:rPr>
        <w:t>办公楼二楼招投标办公室</w:t>
      </w:r>
    </w:p>
    <w:p w14:paraId="5FC97553">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邮编:726007</w:t>
      </w:r>
    </w:p>
    <w:p w14:paraId="1856B192">
      <w:pPr>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技术联系人：韩爱军</w:t>
      </w:r>
      <w:r>
        <w:rPr>
          <w:rFonts w:hint="eastAsia" w:ascii="仿宋" w:hAnsi="仿宋" w:eastAsia="仿宋" w:cs="仿宋"/>
          <w:color w:val="auto"/>
          <w:sz w:val="32"/>
          <w:szCs w:val="32"/>
          <w:highlight w:val="none"/>
        </w:rPr>
        <w:tab/>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电话</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13154075273</w:t>
      </w:r>
    </w:p>
    <w:p w14:paraId="1E2A7DBF">
      <w:pPr>
        <w:numPr>
          <w:ilvl w:val="0"/>
          <w:numId w:val="0"/>
        </w:numPr>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kern w:val="2"/>
          <w:sz w:val="32"/>
          <w:szCs w:val="32"/>
          <w:lang w:val="en-US" w:eastAsia="zh-CN" w:bidi="ar-SA"/>
        </w:rPr>
        <w:t>四、</w:t>
      </w:r>
      <w:r>
        <w:rPr>
          <w:rFonts w:hint="eastAsia" w:ascii="仿宋" w:hAnsi="仿宋" w:eastAsia="仿宋" w:cs="仿宋"/>
          <w:b/>
          <w:bCs/>
          <w:color w:val="auto"/>
          <w:sz w:val="32"/>
          <w:szCs w:val="32"/>
          <w:highlight w:val="none"/>
        </w:rPr>
        <w:t>响应文件开启地点</w:t>
      </w:r>
    </w:p>
    <w:p w14:paraId="5E8A2960">
      <w:pPr>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陕西锌业有限公司办公楼二楼招投标办公室</w:t>
      </w:r>
    </w:p>
    <w:p w14:paraId="65A83C74">
      <w:pPr>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五、响应文件的评审</w:t>
      </w:r>
    </w:p>
    <w:p w14:paraId="26E45F5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(一)响应文件评审办法</w:t>
      </w:r>
    </w:p>
    <w:p w14:paraId="1D066AD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本次评审综合评分法，是在响应文件满足采购文件实质性要求的前提下，评审小组对通过初步评审的供应商的响应文件进行详细评审后，根据响应服务机构综合得分从高到低推荐3名成交候选人。</w:t>
      </w:r>
    </w:p>
    <w:p w14:paraId="07448CCD">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(二)评审标准</w:t>
      </w:r>
    </w:p>
    <w:p w14:paraId="571ECE0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报价(50分)</w:t>
      </w:r>
    </w:p>
    <w:p w14:paraId="696327A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以取掉各响应报价中一个最高值和一个最低值后的算术平均值为评审基准价</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即评审基准价</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28"/>
          <w:szCs w:val="28"/>
          <w:highlight w:val="none"/>
        </w:rPr>
        <w:t>M=有效报价人的响应报价（去掉一个最高、最低报价）之和</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有效报价人个数-2</w:t>
      </w:r>
      <w:r>
        <w:rPr>
          <w:rFonts w:hint="eastAsia" w:ascii="仿宋" w:hAnsi="仿宋" w:eastAsia="仿宋" w:cs="仿宋"/>
          <w:color w:val="auto"/>
          <w:sz w:val="28"/>
          <w:szCs w:val="28"/>
          <w:highlight w:val="none"/>
          <w:lang w:val="en-US" w:eastAsia="zh-CN"/>
        </w:rPr>
        <w:t>）。</w:t>
      </w:r>
    </w:p>
    <w:p w14:paraId="287C5304">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若有效报价少于五家(含五家)，则取所有有效响应报价的算术平均值为评审基准价。</w:t>
      </w:r>
    </w:p>
    <w:p w14:paraId="5504ADBF">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等于评审基准价的报价得50分；高于基准价的，每高一个百分点扣1分；低于基准价的，每低一个百分点扣0.5分。评审赋分采用插入法计算，扣完为止。</w:t>
      </w:r>
    </w:p>
    <w:p w14:paraId="495BBAE4">
      <w:pPr>
        <w:numPr>
          <w:ilvl w:val="0"/>
          <w:numId w:val="4"/>
        </w:numPr>
        <w:ind w:left="0" w:leftChars="0"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维修保养方案(2</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分)</w:t>
      </w:r>
      <w:r>
        <w:rPr>
          <w:rFonts w:hint="eastAsia" w:ascii="仿宋" w:hAnsi="仿宋" w:eastAsia="仿宋" w:cs="仿宋"/>
          <w:color w:val="auto"/>
          <w:sz w:val="32"/>
          <w:szCs w:val="32"/>
          <w:highlight w:val="none"/>
          <w:lang w:eastAsia="zh-CN"/>
        </w:rPr>
        <w:t>；</w:t>
      </w:r>
    </w:p>
    <w:p w14:paraId="64BF6D11">
      <w:pPr>
        <w:numPr>
          <w:ilvl w:val="0"/>
          <w:numId w:val="0"/>
        </w:num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根据方案可行性，</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非集中维修，部分泄压或使用过的单具灭火器维修保养时限。瓶体外观因腐蚀或其它原因造成漆皮脱落或锈蚀处理办法。如何确保及时做好维修保养服务工作。</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评审小组综合比较，酌情赋分。</w:t>
      </w:r>
    </w:p>
    <w:p w14:paraId="6535F07E">
      <w:pPr>
        <w:numPr>
          <w:ilvl w:val="0"/>
          <w:numId w:val="4"/>
        </w:numPr>
        <w:ind w:left="0" w:leftChars="0"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业绩（15</w:t>
      </w:r>
      <w:r>
        <w:rPr>
          <w:rFonts w:hint="eastAsia" w:ascii="仿宋" w:hAnsi="仿宋" w:eastAsia="仿宋" w:cs="仿宋"/>
          <w:color w:val="auto"/>
          <w:sz w:val="32"/>
          <w:szCs w:val="32"/>
          <w:highlight w:val="none"/>
        </w:rPr>
        <w:t>分</w:t>
      </w:r>
      <w:r>
        <w:rPr>
          <w:rFonts w:hint="eastAsia" w:ascii="仿宋" w:hAnsi="仿宋" w:eastAsia="仿宋" w:cs="仿宋"/>
          <w:color w:val="auto"/>
          <w:sz w:val="32"/>
          <w:szCs w:val="32"/>
          <w:highlight w:val="none"/>
          <w:lang w:val="en-US" w:eastAsia="zh-CN"/>
        </w:rPr>
        <w:t>）；</w:t>
      </w:r>
    </w:p>
    <w:p w14:paraId="0CE3E7E1">
      <w:pPr>
        <w:numPr>
          <w:ilvl w:val="0"/>
          <w:numId w:val="0"/>
        </w:numPr>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从202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月至今从事</w:t>
      </w:r>
      <w:r>
        <w:rPr>
          <w:rFonts w:hint="eastAsia" w:ascii="仿宋" w:hAnsi="仿宋" w:eastAsia="仿宋" w:cs="仿宋"/>
          <w:color w:val="auto"/>
          <w:sz w:val="32"/>
          <w:szCs w:val="32"/>
          <w:highlight w:val="none"/>
          <w:lang w:val="en-US" w:eastAsia="zh-CN"/>
        </w:rPr>
        <w:t>国企、事业单位</w:t>
      </w:r>
      <w:r>
        <w:rPr>
          <w:rFonts w:hint="eastAsia" w:ascii="仿宋" w:hAnsi="仿宋" w:eastAsia="仿宋" w:cs="仿宋"/>
          <w:color w:val="auto"/>
          <w:sz w:val="32"/>
          <w:szCs w:val="32"/>
          <w:highlight w:val="none"/>
        </w:rPr>
        <w:t>同类项目业绩</w:t>
      </w:r>
      <w:r>
        <w:rPr>
          <w:rFonts w:hint="eastAsia" w:ascii="仿宋" w:hAnsi="仿宋" w:eastAsia="仿宋" w:cs="仿宋"/>
          <w:color w:val="auto"/>
          <w:sz w:val="32"/>
          <w:szCs w:val="32"/>
          <w:highlight w:val="none"/>
          <w:lang w:val="en-US" w:eastAsia="zh-CN"/>
        </w:rPr>
        <w:t>至少提供三份；少于三份不得分；提供三份得9分，每增加一份</w:t>
      </w:r>
      <w:r>
        <w:rPr>
          <w:rFonts w:hint="eastAsia" w:ascii="仿宋" w:hAnsi="仿宋" w:eastAsia="仿宋" w:cs="仿宋"/>
          <w:color w:val="auto"/>
          <w:sz w:val="32"/>
          <w:szCs w:val="32"/>
          <w:highlight w:val="none"/>
        </w:rPr>
        <w:t>业绩</w:t>
      </w:r>
      <w:r>
        <w:rPr>
          <w:rFonts w:hint="eastAsia" w:ascii="仿宋" w:hAnsi="仿宋" w:eastAsia="仿宋" w:cs="仿宋"/>
          <w:color w:val="auto"/>
          <w:sz w:val="32"/>
          <w:szCs w:val="32"/>
          <w:highlight w:val="none"/>
          <w:lang w:val="en-US" w:eastAsia="zh-CN"/>
        </w:rPr>
        <w:t>合同加3分，总分不超过15分。</w:t>
      </w:r>
    </w:p>
    <w:p w14:paraId="13D9768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4.售后服务承诺(10分)</w:t>
      </w:r>
    </w:p>
    <w:p w14:paraId="4042477D">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售后服务保障措施:售后服务体系健全，并有详细的售后服务可行的补货、换货措施</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并能及时响应（24小时之内</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。根据售后服务保障措施，评审小组综合比较，酌情赋分。</w:t>
      </w:r>
    </w:p>
    <w:p w14:paraId="1062D814">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(二)响应文件评审程序</w:t>
      </w:r>
    </w:p>
    <w:p w14:paraId="19BE405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1、评审小组对响应供应商提交的资质有关的证明文件进行初步评审，不符合评审标准的应否决其响应文件。</w:t>
      </w:r>
    </w:p>
    <w:p w14:paraId="3FBE015A">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2.响应供应商有以下情形之一的，评审小组应当否决其响应</w:t>
      </w:r>
      <w:r>
        <w:rPr>
          <w:rFonts w:hint="eastAsia" w:ascii="仿宋" w:hAnsi="仿宋" w:eastAsia="仿宋" w:cs="仿宋"/>
          <w:color w:val="auto"/>
          <w:sz w:val="32"/>
          <w:szCs w:val="32"/>
          <w:highlight w:val="none"/>
          <w:lang w:eastAsia="zh-CN"/>
        </w:rPr>
        <w:t>：</w:t>
      </w:r>
    </w:p>
    <w:p w14:paraId="531256CE">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(1)未经过正常途径获取标书或供应商名称或组织结构与询比采购文件不一致且未提供有效证明的;</w:t>
      </w:r>
    </w:p>
    <w:p w14:paraId="3649743C">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(2)响应文件未经响应单位盖章和单位负责人签字或盖章的;</w:t>
      </w:r>
    </w:p>
    <w:p w14:paraId="4308738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(3)响应供应商不符合询比采购文件规定的资格条件的;</w:t>
      </w:r>
    </w:p>
    <w:p w14:paraId="5B54938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(4)响应供应商提交两份或多份内容不同的响应文件，或在同一份响应文件中有两个或多个报价，且未声明哪一个为最终报价的;</w:t>
      </w:r>
    </w:p>
    <w:p w14:paraId="41ABA614">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(5)响应供应商有串通投标、弄虚作假、行贿等违法行为的。</w:t>
      </w:r>
    </w:p>
    <w:p w14:paraId="4D16B1D0">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3.响应文件中的大写金额与小写金额不一致的，以大写金额为准;</w:t>
      </w:r>
    </w:p>
    <w:p w14:paraId="7953B71E">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(四)评审结果</w:t>
      </w:r>
    </w:p>
    <w:p w14:paraId="4DBF31F7">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1.评审小组按照经评审的综合得分由高到低的顺序推荐成交候选人，并标明排序。</w:t>
      </w:r>
    </w:p>
    <w:p w14:paraId="2E276604">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2.评审小组完成评审后，向采购人招标办公室提交书面评审报告和成交候选人名单。</w:t>
      </w:r>
    </w:p>
    <w:p w14:paraId="322AD20B">
      <w:pPr>
        <w:ind w:firstLine="643" w:firstLineChars="200"/>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六、合同授予</w:t>
      </w:r>
    </w:p>
    <w:p w14:paraId="1602D448">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(一)成交候选人公示</w:t>
      </w:r>
    </w:p>
    <w:p w14:paraId="0C1FE2B3">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采购人招标办收到评审报告之日起3日内确定成交人，并在陕西锌业有限公司网络采购平台www.sxxyjjpt.com公示成交候选人，公示期不少于3天。</w:t>
      </w:r>
    </w:p>
    <w:p w14:paraId="605C8D79">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(二)评审结果异议</w:t>
      </w:r>
    </w:p>
    <w:p w14:paraId="275B7882">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响应供应商或者其他利害关系人对评审结果有异议的，应当在成交候选人公示期间提出。采购人在收到异议之日起3日内对异议作出答复;作出答复前，将暂停询比采购活动。</w:t>
      </w:r>
    </w:p>
    <w:p w14:paraId="1657056E">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(三)确定成交人</w:t>
      </w:r>
    </w:p>
    <w:p w14:paraId="2EE09987">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采购人单位履行内部审批程序，根据评审小组的评审报告及成交人候选人名单确定成交人。</w:t>
      </w:r>
    </w:p>
    <w:p w14:paraId="7B87CC2B">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(四)成交通知</w:t>
      </w:r>
    </w:p>
    <w:p w14:paraId="40D8EBD2">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在响应有效期内，采购人向成交人发出成交通知书。</w:t>
      </w:r>
    </w:p>
    <w:p w14:paraId="21D15676">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(五)签订合同</w:t>
      </w:r>
    </w:p>
    <w:p w14:paraId="6690F465">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采购人和成交供应商应当在响应有效期内，且在自成交通知书发出之日起7日内，根据询比采购文件和成交人的响应文件订立书面合同。成交人无正当理由拒签合同，或者提出其他附加条件的，采购人有权取消其成交资格。</w:t>
      </w:r>
    </w:p>
    <w:p w14:paraId="59AAE554">
      <w:pPr>
        <w:ind w:firstLine="640" w:firstLineChars="200"/>
        <w:rPr>
          <w:rFonts w:hint="eastAsia" w:ascii="仿宋" w:hAnsi="仿宋" w:eastAsia="仿宋" w:cs="仿宋"/>
          <w:color w:val="auto"/>
          <w:sz w:val="32"/>
          <w:szCs w:val="32"/>
          <w:highlight w:val="none"/>
        </w:rPr>
      </w:pPr>
    </w:p>
    <w:p w14:paraId="7BE96245">
      <w:pPr>
        <w:ind w:firstLine="640" w:firstLineChars="200"/>
        <w:rPr>
          <w:rFonts w:hint="default" w:ascii="仿宋" w:hAnsi="仿宋" w:eastAsia="仿宋" w:cs="仿宋"/>
          <w:color w:val="auto"/>
          <w:sz w:val="32"/>
          <w:szCs w:val="32"/>
          <w:highlight w:val="none"/>
          <w:lang w:val="en-US" w:eastAsia="zh-CN"/>
        </w:rPr>
      </w:pPr>
    </w:p>
    <w:p w14:paraId="09FF8754">
      <w:pPr>
        <w:ind w:firstLine="4800" w:firstLineChars="15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陕西锌业有限公司</w:t>
      </w:r>
    </w:p>
    <w:p w14:paraId="24E0714D">
      <w:pPr>
        <w:ind w:firstLine="4800" w:firstLineChars="15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2025年7月3日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auto"/>
    <w:pitch w:val="default"/>
    <w:sig w:usb0="A00002BF" w:usb1="38CF7CFA" w:usb2="00082016" w:usb3="00000000" w:csb0="00040001" w:csb1="00000000"/>
    <w:embedRegular r:id="rId1" w:fontKey="{D5F0727C-64A0-418C-9D37-864DC9BA2E0F}"/>
  </w:font>
  <w:font w:name="方正公文小标宋">
    <w:panose1 w:val="02000500000000000000"/>
    <w:charset w:val="86"/>
    <w:family w:val="auto"/>
    <w:pitch w:val="default"/>
    <w:sig w:usb0="A00002BF" w:usb1="38CF7CFA" w:usb2="00000016" w:usb3="00000000" w:csb0="00040001" w:csb1="00000000"/>
    <w:embedRegular r:id="rId2" w:fontKey="{0A128D4D-052E-460E-9B98-EAA44BE7D02E}"/>
  </w:font>
  <w:font w:name="仿宋">
    <w:panose1 w:val="02010609060101010101"/>
    <w:charset w:val="86"/>
    <w:family w:val="auto"/>
    <w:pitch w:val="default"/>
    <w:sig w:usb0="800002BF" w:usb1="38CF7CFA" w:usb2="00000016" w:usb3="00000000" w:csb0="00040001" w:csb1="00000000"/>
    <w:embedRegular r:id="rId3" w:fontKey="{8607E6DC-4DCC-4FAD-BDD6-AB754EA4944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29F3FF"/>
    <w:multiLevelType w:val="singleLevel"/>
    <w:tmpl w:val="A829F3FF"/>
    <w:lvl w:ilvl="0" w:tentative="0">
      <w:start w:val="2"/>
      <w:numFmt w:val="decimal"/>
      <w:lvlText w:val="%1."/>
      <w:lvlJc w:val="left"/>
      <w:pPr>
        <w:tabs>
          <w:tab w:val="left" w:pos="312"/>
        </w:tabs>
      </w:pPr>
    </w:lvl>
  </w:abstractNum>
  <w:abstractNum w:abstractNumId="1">
    <w:nsid w:val="44773A61"/>
    <w:multiLevelType w:val="singleLevel"/>
    <w:tmpl w:val="44773A61"/>
    <w:lvl w:ilvl="0" w:tentative="0">
      <w:start w:val="3"/>
      <w:numFmt w:val="decimal"/>
      <w:lvlText w:val="%1."/>
      <w:lvlJc w:val="left"/>
      <w:pPr>
        <w:tabs>
          <w:tab w:val="left" w:pos="312"/>
        </w:tabs>
      </w:pPr>
    </w:lvl>
  </w:abstractNum>
  <w:abstractNum w:abstractNumId="2">
    <w:nsid w:val="541BA28A"/>
    <w:multiLevelType w:val="singleLevel"/>
    <w:tmpl w:val="541BA28A"/>
    <w:lvl w:ilvl="0" w:tentative="0">
      <w:start w:val="2"/>
      <w:numFmt w:val="decimal"/>
      <w:lvlText w:val="%1."/>
      <w:lvlJc w:val="left"/>
      <w:pPr>
        <w:tabs>
          <w:tab w:val="left" w:pos="312"/>
        </w:tabs>
      </w:pPr>
    </w:lvl>
  </w:abstractNum>
  <w:abstractNum w:abstractNumId="3">
    <w:nsid w:val="7A5F5B60"/>
    <w:multiLevelType w:val="singleLevel"/>
    <w:tmpl w:val="7A5F5B60"/>
    <w:lvl w:ilvl="0" w:tentative="0">
      <w:start w:val="1"/>
      <w:numFmt w:val="decimal"/>
      <w:lvlText w:val="(%1)"/>
      <w:lvlJc w:val="left"/>
      <w:pPr>
        <w:tabs>
          <w:tab w:val="left" w:pos="312"/>
        </w:tabs>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230DF"/>
    <w:rsid w:val="05104BC1"/>
    <w:rsid w:val="0963712E"/>
    <w:rsid w:val="096E7880"/>
    <w:rsid w:val="0D2230DF"/>
    <w:rsid w:val="108A1F9F"/>
    <w:rsid w:val="12DB5F87"/>
    <w:rsid w:val="137A57A0"/>
    <w:rsid w:val="13DD188A"/>
    <w:rsid w:val="1642631D"/>
    <w:rsid w:val="1DCD0BC2"/>
    <w:rsid w:val="1FE16BA6"/>
    <w:rsid w:val="202847AB"/>
    <w:rsid w:val="26377520"/>
    <w:rsid w:val="2D200D0E"/>
    <w:rsid w:val="2DAC74B3"/>
    <w:rsid w:val="2F810DC1"/>
    <w:rsid w:val="2F9257C7"/>
    <w:rsid w:val="30506DD8"/>
    <w:rsid w:val="3D60660E"/>
    <w:rsid w:val="3FFF1E30"/>
    <w:rsid w:val="40B97D06"/>
    <w:rsid w:val="432A17D5"/>
    <w:rsid w:val="48495275"/>
    <w:rsid w:val="48B25C97"/>
    <w:rsid w:val="49E03C68"/>
    <w:rsid w:val="4D5230E4"/>
    <w:rsid w:val="54800420"/>
    <w:rsid w:val="55313209"/>
    <w:rsid w:val="553D7E00"/>
    <w:rsid w:val="5728063B"/>
    <w:rsid w:val="5CAC586B"/>
    <w:rsid w:val="5EB50A07"/>
    <w:rsid w:val="61581B1D"/>
    <w:rsid w:val="63C17E4E"/>
    <w:rsid w:val="64BE25DF"/>
    <w:rsid w:val="69307AA4"/>
    <w:rsid w:val="697B0A9F"/>
    <w:rsid w:val="69D84B37"/>
    <w:rsid w:val="6DA06D26"/>
    <w:rsid w:val="6E150F83"/>
    <w:rsid w:val="7295716E"/>
    <w:rsid w:val="74EE481B"/>
    <w:rsid w:val="79E47F9A"/>
    <w:rsid w:val="7A24483B"/>
    <w:rsid w:val="7C744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3780</Words>
  <Characters>3962</Characters>
  <Lines>0</Lines>
  <Paragraphs>0</Paragraphs>
  <TotalTime>5</TotalTime>
  <ScaleCrop>false</ScaleCrop>
  <LinksUpToDate>false</LinksUpToDate>
  <CharactersWithSpaces>3994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2025-06-27T06:46:00Z</dcterms:created>
  <dc:creator>韩爱军</dc:creator>
  <cp:lastModifiedBy>李晶</cp:lastModifiedBy>
  <dcterms:modified xsi:type="dcterms:W3CDTF">2025-07-03T09:15:17Z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EF32AE7E2459449C9296D3781B2F393C_13</vt:lpwstr>
  </property>
  <property fmtid="{D5CDD505-2E9C-101B-9397-08002B2CF9AE}" pid="4" name="KSOTemplateDocerSaveRecord">
    <vt:lpwstr>eyJoZGlkIjoiM2ExNjY5MWQ0OWUzYjcxZjUxYWY0YjAzMjk0YjQ0NDAiLCJ1c2VySWQiOiI2Mjg3MjA1MDUifQ==</vt:lpwstr>
  </property>
</Properties>
</file>